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FFD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珠海市香洲区人民医院</w:t>
      </w:r>
    </w:p>
    <w:p w14:paraId="45903B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32"/>
          <w:szCs w:val="32"/>
        </w:rPr>
        <w:t>历史财务纸质账套全量迁移与数据修复项目</w:t>
      </w:r>
    </w:p>
    <w:p w14:paraId="188285A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bookmarkStart w:id="0" w:name="heading_1"/>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1 项目概况</w:t>
      </w:r>
      <w:bookmarkEnd w:id="0"/>
    </w:p>
    <w:p w14:paraId="2761204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本项目为珠海市香洲区人民医院跨多年度碎片化纸质原始会计档案数字化迁移、账套重建、数据标准化修复、全账套校验对账一体化实施服务。医院现存三批次独立历史纸质财务档案，</w:t>
      </w:r>
      <w:r>
        <w:rPr>
          <w:rFonts w:hint="eastAsia" w:asciiTheme="minorEastAsia" w:hAnsiTheme="minorEastAsia" w:eastAsiaTheme="minorEastAsia" w:cstheme="minorEastAsia"/>
          <w:b/>
          <w:sz w:val="24"/>
          <w:szCs w:val="24"/>
        </w:rPr>
        <w:t>无任何电子化数据库底账、无可直接导入的电子账套文件、无结构化 Excel 原始台账</w:t>
      </w:r>
      <w:r>
        <w:rPr>
          <w:rFonts w:hint="eastAsia" w:asciiTheme="minorEastAsia" w:hAnsiTheme="minorEastAsia" w:eastAsiaTheme="minorEastAsia" w:cstheme="minorEastAsia"/>
          <w:sz w:val="24"/>
          <w:szCs w:val="24"/>
        </w:rPr>
        <w:t>，全部会计基础档案、记账凭证、预算凭证、月度 / 年度财务报表仅留存纸质原始单据，不存在批量导入、OCR 识别、数据库导出等自动化实施路径，全部账务数据必须依托纸质档案完成全人工逐条录入、多维度辅助核算补录、跨年度科目体系标准化梳理、账套借贷平衡校验、报表重算、双向纸质底稿对账、问题溯源修正全套工作。</w:t>
      </w:r>
    </w:p>
    <w:p w14:paraId="634FB1B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项目覆盖三大独立时间区间账套，各批次纸质档案存储状态差异大、凭证体量悬殊、辅助核算维度层级复杂、2025 年度执行财务会计 + 预算会计双记账并行体系，整体数据总量庞大、手工录入操作链路极长、多维度多层级校验规则复杂、跨年度新旧政府会计科目映射适配工作量极高。项目需配置多组专业财务实施人员分模块并行作业，全流程实施周期长、人力投入规模大、全过程质量管控及多层级校验工作繁重，中标服务商须组建固定专属实施团队驻场开展全流程工作，不得兼职、外包、临时调配人员。</w:t>
      </w:r>
    </w:p>
    <w:p w14:paraId="5F15F6BA">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bookmarkStart w:id="1" w:name="heading_2"/>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2 分批次专项业务实施需求</w:t>
      </w:r>
      <w:bookmarkEnd w:id="1"/>
    </w:p>
    <w:p w14:paraId="0B6A7CC5">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bookmarkStart w:id="2" w:name="heading_3"/>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rPr>
        <w:t>1 批次一：2006</w:t>
      </w:r>
      <w:r>
        <w:rPr>
          <w:rFonts w:hint="eastAsia" w:asciiTheme="minorEastAsia" w:hAnsiTheme="minorEastAsia" w:eastAsiaTheme="minorEastAsia" w:cstheme="minorEastAsia"/>
          <w:b/>
          <w:sz w:val="24"/>
          <w:szCs w:val="24"/>
          <w:lang w:val="en-US" w:eastAsia="zh-CN"/>
        </w:rPr>
        <w:t>-</w:t>
      </w:r>
      <w:r>
        <w:rPr>
          <w:rFonts w:hint="eastAsia" w:asciiTheme="minorEastAsia" w:hAnsiTheme="minorEastAsia" w:eastAsiaTheme="minorEastAsia" w:cstheme="minorEastAsia"/>
          <w:b/>
          <w:sz w:val="24"/>
          <w:szCs w:val="24"/>
        </w:rPr>
        <w:t>2011年老旧无序纸质账套重建（完整 6 会计年度）</w:t>
      </w:r>
      <w:bookmarkEnd w:id="2"/>
    </w:p>
    <w:p w14:paraId="2F26A8B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档案基础现状约束</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本批次为医院建院早期历史会计档案，距今跨度长达 16 年，无任何年度有序电子台账、无备份账套、无科目电子底档；纸质档案长期存放存在装订碎片化、归档无序、无统一凭证索引目录、部分单据字迹褪色、装订破损、缺页漏页等问题，所有账务数据无电子化数据源，仅支持纯人工逐条录入重建完整年度账套，严禁以扫描、识别、模板导入等方式简化人工录入工作量。</w:t>
      </w:r>
    </w:p>
    <w:p w14:paraId="14B5808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跨年度会计科目体系标准化建档需求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服务商需完整梳理 2006-2011 连续 6 个会计年度全套会计科目体系，区分每年度科目新增、停用、拆分、合并、收支属性变更明细；统一标准化科目层级、科目类型、资金分类标识、辅助核算预留字段；全部科目信息无电子底稿，须安排人员逐本翻阅纸质总账、明细分类账手工提取科目信息，逐条录入财务系统，独立搭建 6 套年度标准化科目档案库，同步编制跨年度科目变更对照表归档留存。</w:t>
      </w:r>
    </w:p>
    <w:p w14:paraId="52257B1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 整年全量纸质记账凭证纯手工录入需求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覆盖 2006 至 2011 完整 6 个自然会计年度全部纸质原始记账凭证，单年度月度凭证无统一装订索引，实施人员需逐册分拣、翻阅全部纸质凭证册；对每一张凭证完整录入制单日期、凭证字号、摘要内容、借方科目、贷方科目、借贷发生金额、制单人、审核人、记账人全部字段信息；录入过程中同步匹配当年对应会计科目体系，对科目调整、红字冲销、跨年结转业务单独标注，确保电子化录入分录与纸质原始单据 100% 完全一致，不允许省略任何字段简化录入。</w:t>
      </w:r>
    </w:p>
    <w:p w14:paraId="6F12E381">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全年度财务报表重算、纸质底稿双向对账及归档需求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依托手工录入完成的 6 整年完整凭证账套，按照公立医院财务制度完整重算 2006-2011 各月度、季度、年度全套财务报表，包含资产负债表、收入费用总表、医疗收入费用明细表、财政补助收支明细表、基本建设报表等全套标准报表；实施人员调取医院留存纸质年度报表底稿，与电子化重算报表逐行、逐科目核对数据，对纸质与电子报表差额账务逐条溯源对应月度凭证，定位录入误差、科目匹配错误并完成闭环修正；全部报表完成结构化电子化归档，留存完整纸质报表与电子报表双向对账工作底稿、差异修正台账。</w:t>
      </w:r>
    </w:p>
    <w:p w14:paraId="2982E61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本批次专项管控要求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6 个年度档案时间跨度久远，前期纸质档案分拣、破损单据整理、缺页标注工作量巨大；每年度账套录入完成后必须执行三级独立校验，单人无法完成全流程实施，须拆分年度模块配置多组录入人员并行作业；所有档案整理、录入、校验工作全程驻场完成，纸质原始档案不得带离医院院区。</w:t>
      </w:r>
    </w:p>
    <w:p w14:paraId="753DECE3">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bookmarkStart w:id="3" w:name="heading_4"/>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rPr>
        <w:t>2 批次二：2016年2月</w:t>
      </w:r>
      <w:r>
        <w:rPr>
          <w:rFonts w:hint="eastAsia" w:asciiTheme="minorEastAsia" w:hAnsiTheme="minorEastAsia" w:eastAsiaTheme="minorEastAsia" w:cstheme="minorEastAsia"/>
          <w:b/>
          <w:sz w:val="24"/>
          <w:szCs w:val="24"/>
          <w:lang w:val="en-US" w:eastAsia="zh-CN"/>
        </w:rPr>
        <w:t>-</w:t>
      </w:r>
      <w:r>
        <w:rPr>
          <w:rFonts w:hint="eastAsia" w:asciiTheme="minorEastAsia" w:hAnsiTheme="minorEastAsia" w:eastAsiaTheme="minorEastAsia" w:cstheme="minorEastAsia"/>
          <w:b/>
          <w:sz w:val="24"/>
          <w:szCs w:val="24"/>
        </w:rPr>
        <w:t>12月碎片化纸质账套数据修复（11 个自然月）</w:t>
      </w:r>
      <w:bookmarkEnd w:id="3"/>
    </w:p>
    <w:p w14:paraId="190A8D1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档案基础现状约束</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本批次仅留存 2016 年 2 月至 12 月纸质会计档案，缺失 1 月完整纸质账务原始资料，无配套电子账套备份；纸质档案归档碎片化、凭证装订册拆分散落、无统一凭证编号索引，全部基础档案、凭证、报表无电子化结构化数据源，仅可通过纯手工逐条录入完成账套修复、补建工作。</w:t>
      </w:r>
    </w:p>
    <w:p w14:paraId="28576AEC">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年度独立会计科目档案梳理录入需求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完整梳理 2016 年度全套会计科目体系，区分本批次科目与 2006-2011 老旧科目架构差异，标准化统一科目层级、收支分类、辅助核算预留档案；所有科目信息依托纸质总账、明细账人工提取、逐条录入系统，独立搭建 2016 年度标准化科目档案库，编制与往期老旧科目映射对照表。</w:t>
      </w:r>
    </w:p>
    <w:p w14:paraId="7F1F761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 个月全量纸质凭证逐条手工录入需求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全覆盖 2016 年 2 月至 12 月 11 个自然月全部纸质记账原始凭证，实施人员逐册分拣碎片化凭证档案，逐条完整录入凭证全部基础字段；针对缺失 2016 年 1 月完整账务资料场景，服务商须建立独立账务缺失专项台账，完整登记缺账区间、缺失凭证类型、缺失科目明细，在电子化账套内单独标记缺账区间，形成缺账说明文档归档；录入阶段对月度科目调整、跨月冲销凭证单独留存标注底稿。</w:t>
      </w:r>
    </w:p>
    <w:p w14:paraId="6DF2FC18">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月度、年度报表修复重算与双向校验需求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基于录入完成的 11 个月完整凭证数据，完整重算 2016 年 2-12 月月度全套财务报表、2016 年度全年汇总财务报表；人工调取医院留存 2016 年度纸质报表底稿，与电子化重算报表逐行、逐科目核对数据；针对纸质底稿与电子账套报表产生的数据差额，逐条追溯对应月度原始凭证，定位录入错误、科目匹配偏差并完成闭环修正；全部报表结构化归档，留存完整对账底稿、差异修正记录。</w:t>
      </w:r>
    </w:p>
    <w:p w14:paraId="2BA5E0A9">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本批次专项管控要求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纸质档案碎片化严重，前期档案分拣、分类、索引编制工作量大；账套修复完成后须独立完成总账与明细账平衡校验、月度间账务结转连续性校验，校验工作须配置专职对账人员独立完成，不得由凭证录入人员兼任；缺失账务资料需形成完整专项说明文档，纳入最终项目交付成果。</w:t>
      </w:r>
    </w:p>
    <w:p w14:paraId="2EAB2656">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bookmarkStart w:id="4" w:name="heading_5"/>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rPr>
        <w:t>3 批次三：2025年9月</w:t>
      </w:r>
      <w:r>
        <w:rPr>
          <w:rFonts w:hint="eastAsia" w:asciiTheme="minorEastAsia" w:hAnsiTheme="minorEastAsia" w:eastAsiaTheme="minorEastAsia" w:cstheme="minorEastAsia"/>
          <w:b/>
          <w:sz w:val="24"/>
          <w:szCs w:val="24"/>
          <w:lang w:val="en-US" w:eastAsia="zh-CN"/>
        </w:rPr>
        <w:t>-</w:t>
      </w:r>
      <w:r>
        <w:rPr>
          <w:rFonts w:hint="eastAsia" w:asciiTheme="minorEastAsia" w:hAnsiTheme="minorEastAsia" w:eastAsiaTheme="minorEastAsia" w:cstheme="minorEastAsia"/>
          <w:b/>
          <w:sz w:val="24"/>
          <w:szCs w:val="24"/>
        </w:rPr>
        <w:t>12月双记账体系复杂纸质账套迁移（4 个自然月，财务 + 预算双凭证并行）</w:t>
      </w:r>
      <w:bookmarkEnd w:id="4"/>
    </w:p>
    <w:p w14:paraId="2401544D">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档案基础现状约束</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本批次为医院最新年度纸质会计档案，严格执行政府会计制度双记账并行体系，同步存在</w:t>
      </w:r>
      <w:r>
        <w:rPr>
          <w:rFonts w:hint="eastAsia" w:asciiTheme="minorEastAsia" w:hAnsiTheme="minorEastAsia" w:eastAsiaTheme="minorEastAsia" w:cstheme="minorEastAsia"/>
          <w:b/>
          <w:sz w:val="24"/>
          <w:szCs w:val="24"/>
        </w:rPr>
        <w:t>记账凭证（财务会计）、预算凭证（预算会计）两套独立纸质原始单据</w:t>
      </w:r>
      <w:r>
        <w:rPr>
          <w:rFonts w:hint="eastAsia" w:asciiTheme="minorEastAsia" w:hAnsiTheme="minorEastAsia" w:eastAsiaTheme="minorEastAsia" w:cstheme="minorEastAsia"/>
          <w:sz w:val="24"/>
          <w:szCs w:val="24"/>
        </w:rPr>
        <w:t>，无配套电子化账套源；档案凭证体量庞大，月度各类凭证合计超千张，4 个月累计凭证总量超 4000 张；单会计科目普遍附带 3-4 项多维度辅助核算信息，手工录入字段繁多、操作复杂度极高，单人单月凭证录入周期极长，必须拆分凭证批次配置多组专职录入人员并行作业。</w:t>
      </w:r>
    </w:p>
    <w:p w14:paraId="01EC7B72">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双科目体系 + 多维度辅助核算档案标准化建档需求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服务商需同步搭建两套独立科目档案：财务会计全套科目、预算会计全套科目，完整梳理两类科目层级、收支属性、资金分类、结转规则差异；同步搭建全量多维度辅助核算项目档案库，辅助核算维度包含科室、经费项目、资金来源、往来单位、经济分类五大维度；所有科目、辅助项目无电子底档，实施人员需翻阅纸质总账、辅助明细账、项目立项审批单据逐条提取信息，完整录入系统，完成双科目体系 + 多维度辅助核算档案标准化搭建、分类归档，编制科目、辅助项目年度映射对照表。</w:t>
      </w:r>
    </w:p>
    <w:p w14:paraId="6715DD5E">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海量双凭证体系精细化逐条手工录入需求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全覆盖 2025 年 9-12 月 4 个自然月，每月同步存在两套独立纸质原始单据：记账凭证、预算凭证，每月凭证总量超 1000 张；每张凭证单条分录除基础凭证字段外，还需完整录入 3-4 项多维度辅助核算明细信息，录入字段数量为往期账套 3 倍以上，录入操作复杂度、信息录入工作量成倍增长；所有凭证无电子化数据源，仅允许人工逐张翻阅纸质凭证，完整录入制单日期、凭证字号、摘要、财务 / 预算借贷科目、发生金额、多维度辅助核算明细、制单 / 审核 / 记账人员全部信息；录入过程严格区分财务会计分录、预算会计分录独立归档，对双分录勾稽关系单独标注留存，确保每一张双凭证纸质原始信息与电子化录入数据 100% 匹配。</w:t>
      </w:r>
    </w:p>
    <w:p w14:paraId="105D2477">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双记账体系报表重算、双向勾稽校验与全量归档需求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依托录入完成的 4 个月完整财务、预算双凭证账套，分别独立重算财务会计全套月度 / 年度报表、预算会计全套月度 / 年度报表；同步完成三层校验：①财务会计报表内部借贷平衡校验；②预算会计报表内部收支平衡校验；③财务账与预算账之间收支、结转、结余数据双向勾稽匹配校验；实施人员调取医院 2025 年度纸质月度、年度财务及预算报表底稿，与电子化重算报表逐行、逐科目、逐辅助项目双向核对；针对报表数据差额，分别追溯对应月度记账凭证、预算凭证，定位录入错误、辅助核算匹配偏差、双分录勾稽偏差并逐条闭环修正；最终完成财务、预算两套报表全量电子化结构化归档，留存完整纸质报表与电子报表对账校验记录、双账勾稽校验底稿、差异修正台账。</w:t>
      </w:r>
    </w:p>
    <w:p w14:paraId="650D9553">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本批次专项管控要求</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凭证海量、双记账架构复杂、多维度辅助核算录入字段繁杂，单人无法独立完成月度凭证录入，必须拆分凭证批次配置多组专职财务录入人员并行开展录入工作；账套录入完成后增设独立双账勾稽专项校验岗位，专职人员独立完成财务账、预算账双向平衡、勾稽关系校验，校验流程复杂、核对维度多，严禁由录入人员兼任；同步完成月度间结转数据连续性校验、辅助核算项目全年汇总数据专项校验，本批次整体校验工作量、管控难度为三大批次最高。</w:t>
      </w:r>
    </w:p>
    <w:p w14:paraId="228E9AF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bookmarkStart w:id="5" w:name="heading_6"/>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3 项目全流程实施要求</w:t>
      </w:r>
      <w:bookmarkEnd w:id="5"/>
    </w:p>
    <w:p w14:paraId="0F58CB09">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bookmarkStart w:id="6" w:name="heading_7"/>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3.1 全人工实施硬性约束</w:t>
      </w:r>
      <w:bookmarkEnd w:id="6"/>
    </w:p>
    <w:p w14:paraId="7D44FAA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本项目三批次账套所有基础档案、凭证、报表数据均无电子化结构化数据源，不存在数据库导出、Excel 模板批量导入、OCR 文字识别自动录入等自动化实施通道，</w:t>
      </w:r>
      <w:r>
        <w:rPr>
          <w:rFonts w:hint="eastAsia" w:asciiTheme="minorEastAsia" w:hAnsiTheme="minorEastAsia" w:eastAsiaTheme="minorEastAsia" w:cstheme="minorEastAsia"/>
          <w:b/>
          <w:sz w:val="24"/>
          <w:szCs w:val="24"/>
        </w:rPr>
        <w:t>项目全部数据 100% 依托纸质原始档案人工逐条录入、人工逐条核对、人工重算报表、人工溯源修正</w:t>
      </w:r>
      <w:r>
        <w:rPr>
          <w:rFonts w:hint="eastAsia" w:asciiTheme="minorEastAsia" w:hAnsiTheme="minorEastAsia" w:eastAsiaTheme="minorEastAsia" w:cstheme="minorEastAsia"/>
          <w:sz w:val="24"/>
          <w:szCs w:val="24"/>
        </w:rPr>
        <w:t>，任何自动化工具均不得用于简化、缩减人工工作量，项目整体人力投入、实施时长完全依托人工驻场操作。</w:t>
      </w:r>
    </w:p>
    <w:p w14:paraId="7FAD9431">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bookmarkStart w:id="7" w:name="heading_8"/>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3.2 四级闭环多层级质量校验管控要求</w:t>
      </w:r>
      <w:bookmarkEnd w:id="7"/>
    </w:p>
    <w:p w14:paraId="390C3B9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每一个年度 / 月度账套凭证录入工作全部完成后，必须严格执行</w:t>
      </w:r>
      <w:r>
        <w:rPr>
          <w:rFonts w:hint="eastAsia" w:asciiTheme="minorEastAsia" w:hAnsiTheme="minorEastAsia" w:eastAsiaTheme="minorEastAsia" w:cstheme="minorEastAsia"/>
          <w:b/>
          <w:sz w:val="24"/>
          <w:szCs w:val="24"/>
        </w:rPr>
        <w:t>四级闭环校验机制</w:t>
      </w:r>
      <w:r>
        <w:rPr>
          <w:rFonts w:hint="eastAsia" w:asciiTheme="minorEastAsia" w:hAnsiTheme="minorEastAsia" w:eastAsiaTheme="minorEastAsia" w:cstheme="minorEastAsia"/>
          <w:sz w:val="24"/>
          <w:szCs w:val="24"/>
        </w:rPr>
        <w:t>，每一级校验独立开展、专人负责，校验工作不得与凭证录入工作同步兼任：</w:t>
      </w:r>
    </w:p>
    <w:p w14:paraId="64A3A84F">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一级校验：录入人员自审，完成凭证字段完整性自查、单张凭证借贷平衡自查，留存自审签字台账；</w:t>
      </w:r>
    </w:p>
    <w:p w14:paraId="345A1936">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二级校验：同小组人员交叉对账，对全部凭证随机抽样开展纸质单据与电子录入数据全量核对，留存交叉对账记录、抽样核对清单；</w:t>
      </w:r>
    </w:p>
    <w:p w14:paraId="74217E54">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三级校验：专职总账对账人员全账套总账、明细账数据一致性校验，核对月度结转、年度结转数据连续性，留存总账平衡校验报告；</w:t>
      </w:r>
    </w:p>
    <w:p w14:paraId="7BB95945">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四级校验：项目总负责人全账套总校验，覆盖全套报表核对、跨年度科目映射适配校验、双记账体系勾稽关系总校验，出具全批次数据完整性验收总报告。</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每一级校验均需留存完整标准化校验台账、问题修正记录、对账底稿，校验工作量与凭证录入工作量基本持平，服务商须配置专属独立校验人力团队驻场作业。</w:t>
      </w:r>
    </w:p>
    <w:p w14:paraId="2C1B751A">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bookmarkStart w:id="8" w:name="heading_9"/>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3.3 跨账套新旧会计科目体系统一适配要求</w:t>
      </w:r>
      <w:bookmarkEnd w:id="8"/>
    </w:p>
    <w:p w14:paraId="1555BB2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三批次账套分别对应三套完全不同的会计科目架构：2006-2011 老旧事业单位会计科目、2016 年度过渡会计科目、2025 年最新政府会计双科目体系；三套科目架构存在大量科目新增、停用、拆分、合并、收支属性变更差异。项目实施全过程中，服务商须同步编制三套科目体系完整映射对照表，分类归档留存，确保不同年度账套电子化数据可实现跨年度联动查询、汇总统计，科目映射梳理、适配标注工作覆盖全部年度科目档案，纳入最终交付成果。</w:t>
      </w:r>
    </w:p>
    <w:p w14:paraId="364C114F">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bookmarkStart w:id="9" w:name="heading_10"/>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3.4 全量数据电子化归档与纸质档案索引关联要求</w:t>
      </w:r>
      <w:bookmarkEnd w:id="9"/>
    </w:p>
    <w:p w14:paraId="04A8A02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三批次所有录入完成的电子化账套、标准化基础档案库、全量电子化凭证档案、月度 / 年度财务 &amp; 预算报表、四级质量校验全套台账、跨年度科目映射对照表、缺账 / 档案破损专项备注台账，全部完成标准化结构化归档，生成独立完整项目实施电子档案包；所有电子档案须与医院原始纸质档案建立唯一索引关联，编制纸质档案索引、电子档案索引双向对照表，确保医院可随时依据电子化账套数据精准溯源对应纸质原始单据，索引关联文档作为核心交付成果。</w:t>
      </w:r>
    </w:p>
    <w:p w14:paraId="0877A0E8">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bookmarkStart w:id="10" w:name="heading_11"/>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4 项目驻场人力配置要求</w:t>
      </w:r>
      <w:bookmarkEnd w:id="10"/>
    </w:p>
    <w:p w14:paraId="73453C4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整体工作量庞大，三批次账套可同步并行实施，但单批次内部录入、校验工序必须串行完成，无自动化手段压缩实施工期，服务商投标及实施阶段须固定配置以下驻场专属实施团队，全程在岗，不得兼职、外包、临时抽调人员，投标文件中须附团队人员简历、财务从业资质证明：</w:t>
      </w:r>
    </w:p>
    <w:p w14:paraId="17BA4377">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项目总负责人 1 名：统筹三批次账套整体实施进度、全流程质量总管控、对接医院财务负责人完成阶段性验收、统筹全部交付成果汇总；</w:t>
      </w:r>
    </w:p>
    <w:p w14:paraId="03072DA6">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纸质档案分拣整理专员 </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 xml:space="preserve"> 名：负责全批次纸质档案分拣、分类、装订整理、破损单据标注、缺页缺账台账编制、档案索引目录编制；</w:t>
      </w:r>
    </w:p>
    <w:p w14:paraId="74BF522A">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财务凭证录入小组 </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 组，每组配置专职财务录入人员 </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 名：分批次并行完成会计科目档案、辅助核算档案、海量纸质凭证纯手工录入工作，每组固定对应单一批次账套录入，不得跨批次轮岗；</w:t>
      </w:r>
    </w:p>
    <w:p w14:paraId="23216F9D">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专职对账校验小组 </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 xml:space="preserve"> 组，每组配置专业财务对账人员 2 名：独立执行四级闭环校验、总账明细账平衡核对、报表纸质底稿双向对账、双记账体系勾稽校验，校验团队与录入团队完全分离，人员不得交叉兼任；</w:t>
      </w:r>
    </w:p>
    <w:p w14:paraId="75EC95F2">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报表重算与归档专员 1 名：负责全套财务、预算月度 / 年度报表重算、报表数据结构化归档、各类对照表、台账文档标准化编制汇总、全部电子档案打包归档。</w:t>
      </w:r>
    </w:p>
    <w:p w14:paraId="51C64CB8">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bookmarkStart w:id="11" w:name="heading_12"/>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5 项目实施周期硬性约束</w:t>
      </w:r>
      <w:bookmarkEnd w:id="11"/>
    </w:p>
    <w:p w14:paraId="19E894A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受海量纯手工录入、四级多层级校验、双记账体系复杂勾稽核对工作约束，项目整体全流程实施总周期</w:t>
      </w:r>
      <w:r>
        <w:rPr>
          <w:rFonts w:hint="eastAsia" w:asciiTheme="minorEastAsia" w:hAnsiTheme="minorEastAsia" w:eastAsiaTheme="minorEastAsia" w:cstheme="minorEastAsia"/>
          <w:b/>
          <w:sz w:val="24"/>
          <w:szCs w:val="24"/>
        </w:rPr>
        <w:t>不得少于 120 个自然工作日</w:t>
      </w:r>
      <w:r>
        <w:rPr>
          <w:rFonts w:hint="eastAsia" w:asciiTheme="minorEastAsia" w:hAnsiTheme="minorEastAsia" w:eastAsiaTheme="minorEastAsia" w:cstheme="minorEastAsia"/>
          <w:sz w:val="24"/>
          <w:szCs w:val="24"/>
        </w:rPr>
        <w:t>，所有人员全程驻场医院院区开展工作，分批次最低周期约束如下，三批次可同步并行实施，但单批次内部录入、校验工序必须串行完成，不存在压缩工期的自动化解决方案：</w:t>
      </w:r>
    </w:p>
    <w:p w14:paraId="5CC1FD07">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批次一（2006-2011 年 6 年老旧账套）：凭证录入 + 四级全流程校验周期不少于 60 个自然工作日；</w:t>
      </w:r>
    </w:p>
    <w:p w14:paraId="296D6433">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批次二（2016 年 2-12 月碎片化账套）：凭证录入 + 四级全流程校验周期不少于 30 个自然工作日；</w:t>
      </w:r>
    </w:p>
    <w:p w14:paraId="755D474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批次三（2025 年 9-12 月双记账海量凭证账套）：双凭证录入 + 双账勾稽专项校验全流程周期不少于 75 个自然工作日。</w:t>
      </w:r>
    </w:p>
    <w:p w14:paraId="7F004774">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bookmarkStart w:id="12" w:name="heading_13"/>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6 全套项目交付成果清单</w:t>
      </w:r>
      <w:bookmarkEnd w:id="12"/>
    </w:p>
    <w:p w14:paraId="182D9C1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项目全部实施工作完成、医院验收通过后，服务商须一次性完整交付以下全部标准化成果文档与电子账套，所有文档均提供电子版（PDF 可查阅 + Excel 可编辑双版本），核心账套提供可直接导入医院现有财务系统的标准化账套文件：</w:t>
      </w:r>
    </w:p>
    <w:p w14:paraId="20F6E68E">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分年度独立完整电子化财务账套文件：2006-2011 年度独立账套、2016 年度独立账套、2025 年度财务 + 预算双记账独立账套；</w:t>
      </w:r>
    </w:p>
    <w:p w14:paraId="4FD617D9">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全套标准化基础档案电子库：跨年度全套会计科目体系档案、2025 年度多维度辅助核算项目完整档案、三批次跨年度科目映射对照表；</w:t>
      </w:r>
    </w:p>
    <w:p w14:paraId="3233A94F">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全批次电子化凭证完整档案：每一张凭证电子化录入完整信息归档包、区分财务凭证 / 预算凭证独立分类归档文档、纸质原始单据与电子凭证索引关联对照表；</w:t>
      </w:r>
    </w:p>
    <w:p w14:paraId="325412F9">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全套月度、年度财务会计 + 预算会计电子报表档案：报表重算原始</w:t>
      </w:r>
      <w:bookmarkStart w:id="14" w:name="_GoBack"/>
      <w:bookmarkEnd w:id="14"/>
      <w:r>
        <w:rPr>
          <w:rFonts w:hint="eastAsia" w:asciiTheme="minorEastAsia" w:hAnsiTheme="minorEastAsia" w:eastAsiaTheme="minorEastAsia" w:cstheme="minorEastAsia"/>
          <w:sz w:val="24"/>
          <w:szCs w:val="24"/>
        </w:rPr>
        <w:t>底稿、纸质报表底稿与电子报表双向对账记录、双记账勾稽校验工作底稿、报表差异修正台账；</w:t>
      </w:r>
    </w:p>
    <w:p w14:paraId="43CEFBBB">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项目四级闭环质量校验全套台账：录入人员自审签字记录、小组交叉对账抽样核对台账、总账明细账平衡校验报告、项目负责人全批次总校验验收报告、全流程录入错误闭环修正完整台账；</w:t>
      </w:r>
    </w:p>
    <w:p w14:paraId="685C122F">
      <w:pPr>
        <w:keepNext w:val="0"/>
        <w:keepLines w:val="0"/>
        <w:pageBreakBefore w:val="0"/>
        <w:widowControl w:val="0"/>
        <w:numPr>
          <w:ilvl w:val="0"/>
          <w:numId w:val="33"/>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纸质档案整理专项台账：全批次纸质档案分拣分类索引总表、纸质单据破损 / 缺页标注台账、缺失账务资料专项说明归档文档；</w:t>
      </w:r>
    </w:p>
    <w:p w14:paraId="355DA295">
      <w:pPr>
        <w:keepNext w:val="0"/>
        <w:keepLines w:val="0"/>
        <w:pageBreakBefore w:val="0"/>
        <w:widowControl w:val="0"/>
        <w:numPr>
          <w:ilvl w:val="0"/>
          <w:numId w:val="34"/>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项目整体实施总结与验收报告：分批次全流程工作量统计明细表、驻场人力投入明细台账、全周期实施进度管控台账、历史数据迁移完整性整体验收总报告。</w:t>
      </w:r>
    </w:p>
    <w:p w14:paraId="70B148D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sz w:val="24"/>
          <w:szCs w:val="24"/>
        </w:rPr>
      </w:pPr>
      <w:bookmarkStart w:id="13" w:name="heading_14"/>
      <w:r>
        <w:rPr>
          <w:rFonts w:hint="eastAsia" w:asciiTheme="minorEastAsia" w:hAnsiTheme="minorEastAsia" w:eastAsiaTheme="minorEastAsia" w:cstheme="minorEastAsia"/>
          <w:b/>
          <w:sz w:val="24"/>
          <w:szCs w:val="24"/>
          <w:lang w:eastAsia="zh-CN"/>
        </w:rPr>
        <w:t>1.</w:t>
      </w:r>
      <w:r>
        <w:rPr>
          <w:rFonts w:hint="eastAsia" w:asciiTheme="minorEastAsia" w:hAnsiTheme="minorEastAsia" w:eastAsiaTheme="minorEastAsia" w:cstheme="minorEastAsia"/>
          <w:b/>
          <w:sz w:val="24"/>
          <w:szCs w:val="24"/>
        </w:rPr>
        <w:t>7 项目验收标准</w:t>
      </w:r>
      <w:bookmarkEnd w:id="13"/>
    </w:p>
    <w:p w14:paraId="071DF1E7">
      <w:pPr>
        <w:keepNext w:val="0"/>
        <w:keepLines w:val="0"/>
        <w:pageBreakBefore w:val="0"/>
        <w:widowControl w:val="0"/>
        <w:numPr>
          <w:ilvl w:val="0"/>
          <w:numId w:val="35"/>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完整性标准：三批次全部年度、月度纸质档案对应的会计科目、凭证、报表数据 100% 完成电子化录入，无遗漏凭证、遗漏科目、遗漏报表，缺失账务资料完整登记专项台账；</w:t>
      </w:r>
    </w:p>
    <w:p w14:paraId="33B19B19">
      <w:pPr>
        <w:keepNext w:val="0"/>
        <w:keepLines w:val="0"/>
        <w:pageBreakBefore w:val="0"/>
        <w:widowControl w:val="0"/>
        <w:numPr>
          <w:ilvl w:val="0"/>
          <w:numId w:val="36"/>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一致性标准：电子化账套内所有科目信息、凭证分录、辅助核算明细、报表数据与医院留存纸质原始单据、纸质报表底稿完全一致，数据差异率为 0；</w:t>
      </w:r>
    </w:p>
    <w:p w14:paraId="5E5B399B">
      <w:pPr>
        <w:keepNext w:val="0"/>
        <w:keepLines w:val="0"/>
        <w:pageBreakBefore w:val="0"/>
        <w:widowControl w:val="0"/>
        <w:numPr>
          <w:ilvl w:val="0"/>
          <w:numId w:val="37"/>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平衡校验标准：全部年度 / 月度账套总账与明细账借贷平衡，月度、年度账务结转数据连续无断层，2025 年度财务账、预算账勾稽匹配无差额；</w:t>
      </w:r>
    </w:p>
    <w:p w14:paraId="6120BA7E">
      <w:pPr>
        <w:keepNext w:val="0"/>
        <w:keepLines w:val="0"/>
        <w:pageBreakBefore w:val="0"/>
        <w:widowControl w:val="0"/>
        <w:numPr>
          <w:ilvl w:val="0"/>
          <w:numId w:val="38"/>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交付标准：全套交付成果清单内所有电子账套、台账、文档完整提交，格式规范、索引清晰，可直接用于医院财务系统存档、年度审计调取查阅。</w:t>
      </w:r>
    </w:p>
    <w:sectPr>
      <w:footerReference r:id="rId3"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0377A">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9D9F1DB">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39D9F1D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7"/>
      <w:numFmt w:val="decimal"/>
      <w:lvlText w:val="%1."/>
      <w:lvlJc w:val="left"/>
      <w:rPr>
        <w:color w:val="3370FF"/>
      </w:rPr>
    </w:lvl>
  </w:abstractNum>
  <w:abstractNum w:abstractNumId="1">
    <w:nsid w:val="8461FADE"/>
    <w:multiLevelType w:val="singleLevel"/>
    <w:tmpl w:val="8461FADE"/>
    <w:lvl w:ilvl="0" w:tentative="0">
      <w:start w:val="4"/>
      <w:numFmt w:val="decimal"/>
      <w:lvlText w:val="%1."/>
      <w:lvlJc w:val="left"/>
      <w:rPr>
        <w:color w:val="3370FF"/>
      </w:rPr>
    </w:lvl>
  </w:abstractNum>
  <w:abstractNum w:abstractNumId="2">
    <w:nsid w:val="9239341B"/>
    <w:multiLevelType w:val="singleLevel"/>
    <w:tmpl w:val="9239341B"/>
    <w:lvl w:ilvl="0" w:tentative="0">
      <w:start w:val="5"/>
      <w:numFmt w:val="decimal"/>
      <w:lvlText w:val="%1."/>
      <w:lvlJc w:val="left"/>
      <w:rPr>
        <w:color w:val="3370FF"/>
      </w:rPr>
    </w:lvl>
  </w:abstractNum>
  <w:abstractNum w:abstractNumId="3">
    <w:nsid w:val="9288B902"/>
    <w:multiLevelType w:val="singleLevel"/>
    <w:tmpl w:val="9288B902"/>
    <w:lvl w:ilvl="0" w:tentative="0">
      <w:start w:val="2"/>
      <w:numFmt w:val="decimal"/>
      <w:lvlText w:val="%1."/>
      <w:lvlJc w:val="left"/>
      <w:rPr>
        <w:color w:val="3370FF"/>
      </w:rPr>
    </w:lvl>
  </w:abstractNum>
  <w:abstractNum w:abstractNumId="4">
    <w:nsid w:val="9C8AC8EF"/>
    <w:multiLevelType w:val="singleLevel"/>
    <w:tmpl w:val="9C8AC8EF"/>
    <w:lvl w:ilvl="0" w:tentative="0">
      <w:start w:val="4"/>
      <w:numFmt w:val="decimal"/>
      <w:lvlText w:val="%1."/>
      <w:lvlJc w:val="left"/>
      <w:rPr>
        <w:color w:val="3370FF"/>
      </w:rPr>
    </w:lvl>
  </w:abstractNum>
  <w:abstractNum w:abstractNumId="5">
    <w:nsid w:val="B0F1ACD9"/>
    <w:multiLevelType w:val="singleLevel"/>
    <w:tmpl w:val="B0F1ACD9"/>
    <w:lvl w:ilvl="0" w:tentative="0">
      <w:start w:val="5"/>
      <w:numFmt w:val="decimal"/>
      <w:lvlText w:val="%1."/>
      <w:lvlJc w:val="left"/>
      <w:rPr>
        <w:color w:val="3370FF"/>
      </w:rPr>
    </w:lvl>
  </w:abstractNum>
  <w:abstractNum w:abstractNumId="6">
    <w:nsid w:val="B5E306ED"/>
    <w:multiLevelType w:val="singleLevel"/>
    <w:tmpl w:val="B5E306ED"/>
    <w:lvl w:ilvl="0" w:tentative="0">
      <w:start w:val="5"/>
      <w:numFmt w:val="decimal"/>
      <w:lvlText w:val="%1."/>
      <w:lvlJc w:val="left"/>
      <w:rPr>
        <w:color w:val="3370FF"/>
      </w:rPr>
    </w:lvl>
  </w:abstractNum>
  <w:abstractNum w:abstractNumId="7">
    <w:nsid w:val="BE923771"/>
    <w:multiLevelType w:val="singleLevel"/>
    <w:tmpl w:val="BE923771"/>
    <w:lvl w:ilvl="0" w:tentative="0">
      <w:start w:val="3"/>
      <w:numFmt w:val="decimal"/>
      <w:lvlText w:val="%1."/>
      <w:lvlJc w:val="left"/>
      <w:rPr>
        <w:color w:val="3370FF"/>
      </w:rPr>
    </w:lvl>
  </w:abstractNum>
  <w:abstractNum w:abstractNumId="8">
    <w:nsid w:val="BF205925"/>
    <w:multiLevelType w:val="singleLevel"/>
    <w:tmpl w:val="BF205925"/>
    <w:lvl w:ilvl="0" w:tentative="0">
      <w:start w:val="4"/>
      <w:numFmt w:val="decimal"/>
      <w:lvlText w:val="%1."/>
      <w:lvlJc w:val="left"/>
      <w:rPr>
        <w:color w:val="3370FF"/>
      </w:rPr>
    </w:lvl>
  </w:abstractNum>
  <w:abstractNum w:abstractNumId="9">
    <w:nsid w:val="C8879AEF"/>
    <w:multiLevelType w:val="singleLevel"/>
    <w:tmpl w:val="C8879AEF"/>
    <w:lvl w:ilvl="0" w:tentative="0">
      <w:start w:val="3"/>
      <w:numFmt w:val="decimal"/>
      <w:lvlText w:val="%1."/>
      <w:lvlJc w:val="left"/>
      <w:rPr>
        <w:color w:val="3370FF"/>
      </w:rPr>
    </w:lvl>
  </w:abstractNum>
  <w:abstractNum w:abstractNumId="10">
    <w:nsid w:val="CF092B84"/>
    <w:multiLevelType w:val="singleLevel"/>
    <w:tmpl w:val="CF092B84"/>
    <w:lvl w:ilvl="0" w:tentative="0">
      <w:start w:val="2"/>
      <w:numFmt w:val="decimal"/>
      <w:lvlText w:val="%1."/>
      <w:lvlJc w:val="left"/>
      <w:rPr>
        <w:color w:val="3370FF"/>
      </w:rPr>
    </w:lvl>
  </w:abstractNum>
  <w:abstractNum w:abstractNumId="11">
    <w:nsid w:val="D7F9FE59"/>
    <w:multiLevelType w:val="singleLevel"/>
    <w:tmpl w:val="D7F9FE59"/>
    <w:lvl w:ilvl="0" w:tentative="0">
      <w:start w:val="3"/>
      <w:numFmt w:val="decimal"/>
      <w:lvlText w:val="%1."/>
      <w:lvlJc w:val="left"/>
      <w:rPr>
        <w:color w:val="3370FF"/>
      </w:rPr>
    </w:lvl>
  </w:abstractNum>
  <w:abstractNum w:abstractNumId="12">
    <w:nsid w:val="DCBA6B53"/>
    <w:multiLevelType w:val="singleLevel"/>
    <w:tmpl w:val="DCBA6B53"/>
    <w:lvl w:ilvl="0" w:tentative="0">
      <w:start w:val="2"/>
      <w:numFmt w:val="decimal"/>
      <w:lvlText w:val="%1."/>
      <w:lvlJc w:val="left"/>
      <w:rPr>
        <w:color w:val="3370FF"/>
      </w:rPr>
    </w:lvl>
  </w:abstractNum>
  <w:abstractNum w:abstractNumId="13">
    <w:nsid w:val="E093A4B0"/>
    <w:multiLevelType w:val="singleLevel"/>
    <w:tmpl w:val="E093A4B0"/>
    <w:lvl w:ilvl="0" w:tentative="0">
      <w:start w:val="4"/>
      <w:numFmt w:val="decimal"/>
      <w:lvlText w:val="%1."/>
      <w:lvlJc w:val="left"/>
      <w:rPr>
        <w:color w:val="3370FF"/>
      </w:rPr>
    </w:lvl>
  </w:abstractNum>
  <w:abstractNum w:abstractNumId="14">
    <w:nsid w:val="F4B5D9F5"/>
    <w:multiLevelType w:val="singleLevel"/>
    <w:tmpl w:val="F4B5D9F5"/>
    <w:lvl w:ilvl="0" w:tentative="0">
      <w:start w:val="5"/>
      <w:numFmt w:val="decimal"/>
      <w:lvlText w:val="%1."/>
      <w:lvlJc w:val="left"/>
      <w:rPr>
        <w:color w:val="3370FF"/>
      </w:rPr>
    </w:lvl>
  </w:abstractNum>
  <w:abstractNum w:abstractNumId="15">
    <w:nsid w:val="F7735DC9"/>
    <w:multiLevelType w:val="singleLevel"/>
    <w:tmpl w:val="F7735DC9"/>
    <w:lvl w:ilvl="0" w:tentative="0">
      <w:start w:val="3"/>
      <w:numFmt w:val="decimal"/>
      <w:lvlText w:val="%1."/>
      <w:lvlJc w:val="left"/>
      <w:rPr>
        <w:color w:val="3370FF"/>
      </w:rPr>
    </w:lvl>
  </w:abstractNum>
  <w:abstractNum w:abstractNumId="16">
    <w:nsid w:val="0053208E"/>
    <w:multiLevelType w:val="singleLevel"/>
    <w:tmpl w:val="0053208E"/>
    <w:lvl w:ilvl="0" w:tentative="0">
      <w:start w:val="1"/>
      <w:numFmt w:val="decimal"/>
      <w:lvlText w:val="%1."/>
      <w:lvlJc w:val="left"/>
      <w:rPr>
        <w:color w:val="3370FF"/>
      </w:rPr>
    </w:lvl>
  </w:abstractNum>
  <w:abstractNum w:abstractNumId="17">
    <w:nsid w:val="0248C179"/>
    <w:multiLevelType w:val="singleLevel"/>
    <w:tmpl w:val="0248C179"/>
    <w:lvl w:ilvl="0" w:tentative="0">
      <w:start w:val="4"/>
      <w:numFmt w:val="decimal"/>
      <w:lvlText w:val="%1."/>
      <w:lvlJc w:val="left"/>
      <w:rPr>
        <w:color w:val="3370FF"/>
      </w:rPr>
    </w:lvl>
  </w:abstractNum>
  <w:abstractNum w:abstractNumId="18">
    <w:nsid w:val="03D62ECE"/>
    <w:multiLevelType w:val="singleLevel"/>
    <w:tmpl w:val="03D62ECE"/>
    <w:lvl w:ilvl="0" w:tentative="0">
      <w:start w:val="1"/>
      <w:numFmt w:val="decimal"/>
      <w:lvlText w:val="%1."/>
      <w:lvlJc w:val="left"/>
      <w:rPr>
        <w:color w:val="3370FF"/>
      </w:rPr>
    </w:lvl>
  </w:abstractNum>
  <w:abstractNum w:abstractNumId="19">
    <w:nsid w:val="0E640482"/>
    <w:multiLevelType w:val="singleLevel"/>
    <w:tmpl w:val="0E640482"/>
    <w:lvl w:ilvl="0" w:tentative="0">
      <w:start w:val="3"/>
      <w:numFmt w:val="decimal"/>
      <w:lvlText w:val="%1."/>
      <w:lvlJc w:val="left"/>
      <w:rPr>
        <w:color w:val="3370FF"/>
      </w:rPr>
    </w:lvl>
  </w:abstractNum>
  <w:abstractNum w:abstractNumId="20">
    <w:nsid w:val="243FCF68"/>
    <w:multiLevelType w:val="singleLevel"/>
    <w:tmpl w:val="243FCF68"/>
    <w:lvl w:ilvl="0" w:tentative="0">
      <w:start w:val="1"/>
      <w:numFmt w:val="decimal"/>
      <w:lvlText w:val="%1."/>
      <w:lvlJc w:val="left"/>
      <w:rPr>
        <w:color w:val="3370FF"/>
      </w:rPr>
    </w:lvl>
  </w:abstractNum>
  <w:abstractNum w:abstractNumId="21">
    <w:nsid w:val="2470EC97"/>
    <w:multiLevelType w:val="singleLevel"/>
    <w:tmpl w:val="2470EC97"/>
    <w:lvl w:ilvl="0" w:tentative="0">
      <w:start w:val="1"/>
      <w:numFmt w:val="decimal"/>
      <w:lvlText w:val="%1."/>
      <w:lvlJc w:val="left"/>
      <w:rPr>
        <w:color w:val="3370FF"/>
      </w:rPr>
    </w:lvl>
  </w:abstractNum>
  <w:abstractNum w:abstractNumId="22">
    <w:nsid w:val="25B654F3"/>
    <w:multiLevelType w:val="singleLevel"/>
    <w:tmpl w:val="25B654F3"/>
    <w:lvl w:ilvl="0" w:tentative="0">
      <w:start w:val="2"/>
      <w:numFmt w:val="decimal"/>
      <w:lvlText w:val="%1."/>
      <w:lvlJc w:val="left"/>
      <w:rPr>
        <w:color w:val="3370FF"/>
      </w:rPr>
    </w:lvl>
  </w:abstractNum>
  <w:abstractNum w:abstractNumId="23">
    <w:nsid w:val="2A8F537B"/>
    <w:multiLevelType w:val="singleLevel"/>
    <w:tmpl w:val="2A8F537B"/>
    <w:lvl w:ilvl="0" w:tentative="0">
      <w:start w:val="1"/>
      <w:numFmt w:val="decimal"/>
      <w:lvlText w:val="%1."/>
      <w:lvlJc w:val="left"/>
      <w:rPr>
        <w:color w:val="3370FF"/>
      </w:rPr>
    </w:lvl>
  </w:abstractNum>
  <w:abstractNum w:abstractNumId="24">
    <w:nsid w:val="39A0D9AC"/>
    <w:multiLevelType w:val="singleLevel"/>
    <w:tmpl w:val="39A0D9AC"/>
    <w:lvl w:ilvl="0" w:tentative="0">
      <w:start w:val="3"/>
      <w:numFmt w:val="decimal"/>
      <w:lvlText w:val="%1."/>
      <w:lvlJc w:val="left"/>
      <w:rPr>
        <w:color w:val="3370FF"/>
      </w:rPr>
    </w:lvl>
  </w:abstractNum>
  <w:abstractNum w:abstractNumId="25">
    <w:nsid w:val="46A08BB8"/>
    <w:multiLevelType w:val="singleLevel"/>
    <w:tmpl w:val="46A08BB8"/>
    <w:lvl w:ilvl="0" w:tentative="0">
      <w:start w:val="4"/>
      <w:numFmt w:val="decimal"/>
      <w:lvlText w:val="%1."/>
      <w:lvlJc w:val="left"/>
      <w:rPr>
        <w:color w:val="3370FF"/>
      </w:rPr>
    </w:lvl>
  </w:abstractNum>
  <w:abstractNum w:abstractNumId="26">
    <w:nsid w:val="4C1BAE26"/>
    <w:multiLevelType w:val="singleLevel"/>
    <w:tmpl w:val="4C1BAE26"/>
    <w:lvl w:ilvl="0" w:tentative="0">
      <w:start w:val="1"/>
      <w:numFmt w:val="decimal"/>
      <w:lvlText w:val="%1."/>
      <w:lvlJc w:val="left"/>
      <w:rPr>
        <w:color w:val="3370FF"/>
      </w:rPr>
    </w:lvl>
  </w:abstractNum>
  <w:abstractNum w:abstractNumId="27">
    <w:nsid w:val="4D4DC07F"/>
    <w:multiLevelType w:val="singleLevel"/>
    <w:tmpl w:val="4D4DC07F"/>
    <w:lvl w:ilvl="0" w:tentative="0">
      <w:start w:val="4"/>
      <w:numFmt w:val="decimal"/>
      <w:lvlText w:val="%1."/>
      <w:lvlJc w:val="left"/>
      <w:rPr>
        <w:color w:val="3370FF"/>
      </w:rPr>
    </w:lvl>
  </w:abstractNum>
  <w:abstractNum w:abstractNumId="28">
    <w:nsid w:val="4D94DA66"/>
    <w:multiLevelType w:val="singleLevel"/>
    <w:tmpl w:val="4D94DA66"/>
    <w:lvl w:ilvl="0" w:tentative="0">
      <w:start w:val="2"/>
      <w:numFmt w:val="decimal"/>
      <w:lvlText w:val="%1."/>
      <w:lvlJc w:val="left"/>
      <w:rPr>
        <w:color w:val="3370FF"/>
      </w:rPr>
    </w:lvl>
  </w:abstractNum>
  <w:abstractNum w:abstractNumId="29">
    <w:nsid w:val="58765686"/>
    <w:multiLevelType w:val="singleLevel"/>
    <w:tmpl w:val="58765686"/>
    <w:lvl w:ilvl="0" w:tentative="0">
      <w:start w:val="5"/>
      <w:numFmt w:val="decimal"/>
      <w:lvlText w:val="%1."/>
      <w:lvlJc w:val="left"/>
      <w:rPr>
        <w:color w:val="3370FF"/>
      </w:rPr>
    </w:lvl>
  </w:abstractNum>
  <w:abstractNum w:abstractNumId="30">
    <w:nsid w:val="59ADCABA"/>
    <w:multiLevelType w:val="singleLevel"/>
    <w:tmpl w:val="59ADCABA"/>
    <w:lvl w:ilvl="0" w:tentative="0">
      <w:start w:val="3"/>
      <w:numFmt w:val="decimal"/>
      <w:lvlText w:val="%1."/>
      <w:lvlJc w:val="left"/>
      <w:rPr>
        <w:color w:val="3370FF"/>
      </w:rPr>
    </w:lvl>
  </w:abstractNum>
  <w:abstractNum w:abstractNumId="31">
    <w:nsid w:val="5A241D34"/>
    <w:multiLevelType w:val="singleLevel"/>
    <w:tmpl w:val="5A241D34"/>
    <w:lvl w:ilvl="0" w:tentative="0">
      <w:start w:val="2"/>
      <w:numFmt w:val="decimal"/>
      <w:lvlText w:val="%1."/>
      <w:lvlJc w:val="left"/>
      <w:rPr>
        <w:color w:val="3370FF"/>
      </w:rPr>
    </w:lvl>
  </w:abstractNum>
  <w:abstractNum w:abstractNumId="32">
    <w:nsid w:val="60382F6E"/>
    <w:multiLevelType w:val="singleLevel"/>
    <w:tmpl w:val="60382F6E"/>
    <w:lvl w:ilvl="0" w:tentative="0">
      <w:start w:val="2"/>
      <w:numFmt w:val="decimal"/>
      <w:lvlText w:val="%1."/>
      <w:lvlJc w:val="left"/>
      <w:rPr>
        <w:color w:val="3370FF"/>
      </w:rPr>
    </w:lvl>
  </w:abstractNum>
  <w:abstractNum w:abstractNumId="33">
    <w:nsid w:val="629F7852"/>
    <w:multiLevelType w:val="singleLevel"/>
    <w:tmpl w:val="629F7852"/>
    <w:lvl w:ilvl="0" w:tentative="0">
      <w:start w:val="1"/>
      <w:numFmt w:val="decimal"/>
      <w:lvlText w:val="%1."/>
      <w:lvlJc w:val="left"/>
      <w:rPr>
        <w:color w:val="3370FF"/>
      </w:rPr>
    </w:lvl>
  </w:abstractNum>
  <w:abstractNum w:abstractNumId="34">
    <w:nsid w:val="72183CF9"/>
    <w:multiLevelType w:val="singleLevel"/>
    <w:tmpl w:val="72183CF9"/>
    <w:lvl w:ilvl="0" w:tentative="0">
      <w:start w:val="3"/>
      <w:numFmt w:val="decimal"/>
      <w:lvlText w:val="%1."/>
      <w:lvlJc w:val="left"/>
      <w:rPr>
        <w:color w:val="3370FF"/>
      </w:rPr>
    </w:lvl>
  </w:abstractNum>
  <w:abstractNum w:abstractNumId="35">
    <w:nsid w:val="77ECEA79"/>
    <w:multiLevelType w:val="singleLevel"/>
    <w:tmpl w:val="77ECEA79"/>
    <w:lvl w:ilvl="0" w:tentative="0">
      <w:start w:val="2"/>
      <w:numFmt w:val="decimal"/>
      <w:lvlText w:val="%1."/>
      <w:lvlJc w:val="left"/>
      <w:rPr>
        <w:color w:val="3370FF"/>
      </w:rPr>
    </w:lvl>
  </w:abstractNum>
  <w:abstractNum w:abstractNumId="36">
    <w:nsid w:val="7C246926"/>
    <w:multiLevelType w:val="singleLevel"/>
    <w:tmpl w:val="7C246926"/>
    <w:lvl w:ilvl="0" w:tentative="0">
      <w:start w:val="1"/>
      <w:numFmt w:val="decimal"/>
      <w:lvlText w:val="%1."/>
      <w:lvlJc w:val="left"/>
      <w:rPr>
        <w:color w:val="3370FF"/>
      </w:rPr>
    </w:lvl>
  </w:abstractNum>
  <w:abstractNum w:abstractNumId="37">
    <w:nsid w:val="7DEC2089"/>
    <w:multiLevelType w:val="singleLevel"/>
    <w:tmpl w:val="7DEC2089"/>
    <w:lvl w:ilvl="0" w:tentative="0">
      <w:start w:val="6"/>
      <w:numFmt w:val="decimal"/>
      <w:lvlText w:val="%1."/>
      <w:lvlJc w:val="left"/>
      <w:rPr>
        <w:color w:val="3370FF"/>
      </w:rPr>
    </w:lvl>
  </w:abstractNum>
  <w:num w:numId="1">
    <w:abstractNumId w:val="16"/>
  </w:num>
  <w:num w:numId="2">
    <w:abstractNumId w:val="10"/>
  </w:num>
  <w:num w:numId="3">
    <w:abstractNumId w:val="30"/>
  </w:num>
  <w:num w:numId="4">
    <w:abstractNumId w:val="8"/>
  </w:num>
  <w:num w:numId="5">
    <w:abstractNumId w:val="6"/>
  </w:num>
  <w:num w:numId="6">
    <w:abstractNumId w:val="18"/>
  </w:num>
  <w:num w:numId="7">
    <w:abstractNumId w:val="22"/>
  </w:num>
  <w:num w:numId="8">
    <w:abstractNumId w:val="34"/>
  </w:num>
  <w:num w:numId="9">
    <w:abstractNumId w:val="17"/>
  </w:num>
  <w:num w:numId="10">
    <w:abstractNumId w:val="2"/>
  </w:num>
  <w:num w:numId="11">
    <w:abstractNumId w:val="23"/>
  </w:num>
  <w:num w:numId="12">
    <w:abstractNumId w:val="31"/>
  </w:num>
  <w:num w:numId="13">
    <w:abstractNumId w:val="9"/>
  </w:num>
  <w:num w:numId="14">
    <w:abstractNumId w:val="27"/>
  </w:num>
  <w:num w:numId="15">
    <w:abstractNumId w:val="14"/>
  </w:num>
  <w:num w:numId="16">
    <w:abstractNumId w:val="21"/>
  </w:num>
  <w:num w:numId="17">
    <w:abstractNumId w:val="12"/>
  </w:num>
  <w:num w:numId="18">
    <w:abstractNumId w:val="11"/>
  </w:num>
  <w:num w:numId="19">
    <w:abstractNumId w:val="4"/>
  </w:num>
  <w:num w:numId="20">
    <w:abstractNumId w:val="26"/>
  </w:num>
  <w:num w:numId="21">
    <w:abstractNumId w:val="32"/>
  </w:num>
  <w:num w:numId="22">
    <w:abstractNumId w:val="19"/>
  </w:num>
  <w:num w:numId="23">
    <w:abstractNumId w:val="25"/>
  </w:num>
  <w:num w:numId="24">
    <w:abstractNumId w:val="5"/>
  </w:num>
  <w:num w:numId="25">
    <w:abstractNumId w:val="36"/>
  </w:num>
  <w:num w:numId="26">
    <w:abstractNumId w:val="35"/>
  </w:num>
  <w:num w:numId="27">
    <w:abstractNumId w:val="7"/>
  </w:num>
  <w:num w:numId="28">
    <w:abstractNumId w:val="33"/>
  </w:num>
  <w:num w:numId="29">
    <w:abstractNumId w:val="3"/>
  </w:num>
  <w:num w:numId="30">
    <w:abstractNumId w:val="24"/>
  </w:num>
  <w:num w:numId="31">
    <w:abstractNumId w:val="1"/>
  </w:num>
  <w:num w:numId="32">
    <w:abstractNumId w:val="29"/>
  </w:num>
  <w:num w:numId="33">
    <w:abstractNumId w:val="37"/>
  </w:num>
  <w:num w:numId="34">
    <w:abstractNumId w:val="0"/>
  </w:num>
  <w:num w:numId="35">
    <w:abstractNumId w:val="20"/>
  </w:num>
  <w:num w:numId="36">
    <w:abstractNumId w:val="28"/>
  </w:num>
  <w:num w:numId="37">
    <w:abstractNumId w:val="15"/>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hdrShapeDefaults>
    <o:shapelayout v:ext="edit">
      <o:idmap v:ext="edit" data="2"/>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D86A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6318</Words>
  <Characters>6553</Characters>
  <TotalTime>5</TotalTime>
  <ScaleCrop>false</ScaleCrop>
  <LinksUpToDate>false</LinksUpToDate>
  <CharactersWithSpaces>6768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2026-07-26T06:35:00Z</dcterms:created>
  <dc:creator>Apache POI</dc:creator>
  <cp:lastModifiedBy>曾俊皓</cp:lastModifiedBy>
  <dcterms:modified xsi:type="dcterms:W3CDTF">2026-07-26T06:41:17Z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{"Label":"1","ContentProducer":"001191110102MACQD9K64010000","ProduceID":"7666721589056261101","ReservedCode1":"","ContentPropagator":"","PropagateID":"","ReservedCode2":""}</vt:lpwstr>
  </property>
  <property fmtid="{D5CDD505-2E9C-101B-9397-08002B2CF9AE}" pid="3" name="KSOTemplateDocerSaveRecord">
    <vt:lpwstr>eyJoZGlkIjoiMzEwNTM5NzYwMDRjMzkwZTVkZjY2ODkwMGIxNGU0OTUiLCJ1c2VySWQiOiIxNDc5NjA3MjUwIn0=</vt:lpwstr>
  </property>
  <property fmtid="{D5CDD505-2E9C-101B-9397-08002B2CF9AE}" pid="4" name="KSOProductBuildVer">
    <vt:lpwstr>2052-12.1.0.26895</vt:lpwstr>
  </property>
  <property fmtid="{D5CDD505-2E9C-101B-9397-08002B2CF9AE}" pid="5" name="ICV">
    <vt:lpwstr>DADF9FE2019441C5BBE9FCD5E0B53562_13</vt:lpwstr>
  </property>
</Properties>
</file>