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99A42">
      <w:pPr>
        <w:keepNext w:val="0"/>
        <w:keepLines w:val="0"/>
        <w:pageBreakBefore w:val="0"/>
        <w:widowControl w:val="0"/>
        <w:kinsoku/>
        <w:wordWrap/>
        <w:overflowPunct/>
        <w:topLinePunct w:val="0"/>
        <w:autoSpaceDE w:val="0"/>
        <w:autoSpaceDN w:val="0"/>
        <w:bidi w:val="0"/>
        <w:adjustRightInd/>
        <w:snapToGrid/>
        <w:spacing w:before="30"/>
        <w:ind w:left="3243" w:right="3243" w:firstLine="0"/>
        <w:jc w:val="center"/>
        <w:textAlignment w:val="auto"/>
        <w:outlineLvl w:val="2"/>
        <w:rPr>
          <w:rFonts w:hint="eastAsia"/>
          <w:b/>
          <w:bCs/>
          <w:color w:val="000000" w:themeColor="text1"/>
          <w:sz w:val="28"/>
          <w:szCs w:val="28"/>
          <w:highlight w:val="none"/>
          <w14:textFill>
            <w14:solidFill>
              <w14:schemeClr w14:val="tx1"/>
            </w14:solidFill>
          </w14:textFill>
        </w:rPr>
      </w:pPr>
      <w:bookmarkStart w:id="0" w:name="_Toc9239"/>
      <w:r>
        <w:rPr>
          <w:rFonts w:hint="eastAsia"/>
          <w:b/>
          <w:bCs/>
          <w:color w:val="000000" w:themeColor="text1"/>
          <w:sz w:val="28"/>
          <w:szCs w:val="28"/>
          <w:highlight w:val="none"/>
          <w14:textFill>
            <w14:solidFill>
              <w14:schemeClr w14:val="tx1"/>
            </w14:solidFill>
          </w14:textFill>
        </w:rPr>
        <w:t>投标人资格声明函</w:t>
      </w:r>
      <w:bookmarkEnd w:id="0"/>
    </w:p>
    <w:p w14:paraId="08A71A9C">
      <w:pPr>
        <w:keepNext w:val="0"/>
        <w:keepLines w:val="0"/>
        <w:pageBreakBefore w:val="0"/>
        <w:widowControl w:val="0"/>
        <w:kinsoku/>
        <w:wordWrap/>
        <w:overflowPunct/>
        <w:topLinePunct w:val="0"/>
        <w:autoSpaceDE w:val="0"/>
        <w:autoSpaceDN w:val="0"/>
        <w:bidi w:val="0"/>
        <w:adjustRightInd/>
        <w:snapToGrid/>
        <w:spacing w:before="30"/>
        <w:ind w:left="3243" w:right="3243" w:firstLine="0"/>
        <w:jc w:val="center"/>
        <w:textAlignment w:val="auto"/>
        <w:outlineLvl w:val="2"/>
        <w:rPr>
          <w:rFonts w:hint="eastAsia"/>
          <w:b/>
          <w:bCs/>
          <w:color w:val="000000" w:themeColor="text1"/>
          <w:sz w:val="28"/>
          <w:szCs w:val="28"/>
          <w:highlight w:val="none"/>
          <w14:textFill>
            <w14:solidFill>
              <w14:schemeClr w14:val="tx1"/>
            </w14:solidFill>
          </w14:textFill>
        </w:rPr>
      </w:pPr>
    </w:p>
    <w:p w14:paraId="0404DCC9">
      <w:pPr>
        <w:keepNext w:val="0"/>
        <w:keepLines w:val="0"/>
        <w:pageBreakBefore w:val="0"/>
        <w:widowControl w:val="0"/>
        <w:kinsoku/>
        <w:wordWrap/>
        <w:overflowPunct/>
        <w:topLinePunct w:val="0"/>
        <w:autoSpaceDE w:val="0"/>
        <w:autoSpaceDN w:val="0"/>
        <w:bidi w:val="0"/>
        <w:adjustRightInd/>
        <w:snapToGrid/>
        <w:spacing w:before="30"/>
        <w:ind w:left="3243" w:right="3243" w:firstLine="0"/>
        <w:jc w:val="center"/>
        <w:textAlignment w:val="auto"/>
        <w:outlineLvl w:val="2"/>
        <w:rPr>
          <w:rFonts w:hint="eastAsia"/>
          <w:b/>
          <w:bCs/>
          <w:color w:val="000000" w:themeColor="text1"/>
          <w:sz w:val="28"/>
          <w:szCs w:val="28"/>
          <w:highlight w:val="none"/>
          <w14:textFill>
            <w14:solidFill>
              <w14:schemeClr w14:val="tx1"/>
            </w14:solidFill>
          </w14:textFill>
        </w:rPr>
      </w:pPr>
    </w:p>
    <w:p w14:paraId="1BF9A8BF">
      <w:pPr>
        <w:keepNext w:val="0"/>
        <w:keepLines w:val="0"/>
        <w:pageBreakBefore w:val="0"/>
        <w:kinsoku/>
        <w:wordWrap/>
        <w:overflowPunct/>
        <w:topLinePunct w:val="0"/>
        <w:bidi w:val="0"/>
        <w:adjustRightInd/>
        <w:snapToGrid/>
        <w:spacing w:before="186"/>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珠海市香洲区人民医院：</w:t>
      </w:r>
    </w:p>
    <w:p w14:paraId="2F702AA4">
      <w:pPr>
        <w:pStyle w:val="2"/>
        <w:keepNext w:val="0"/>
        <w:keepLines w:val="0"/>
        <w:pageBreakBefore w:val="0"/>
        <w:tabs>
          <w:tab w:val="left" w:pos="2796"/>
        </w:tabs>
        <w:kinsoku/>
        <w:wordWrap/>
        <w:overflowPunct/>
        <w:topLinePunct w:val="0"/>
        <w:bidi w:val="0"/>
        <w:adjustRightInd/>
        <w:snapToGrid/>
        <w:spacing w:before="160" w:line="362" w:lineRule="auto"/>
        <w:ind w:left="620" w:right="624" w:firstLine="484"/>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关于贵单位</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ab/>
      </w:r>
      <w:r>
        <w:rPr>
          <w:rFonts w:hint="eastAsia"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spacing w:val="16"/>
          <w:highlight w:val="none"/>
          <w:u w:val="single"/>
          <w14:textFill>
            <w14:solidFill>
              <w14:schemeClr w14:val="tx1"/>
            </w14:solidFill>
          </w14:textFill>
        </w:rPr>
        <w:t xml:space="preserve"> </w:t>
      </w:r>
      <w:r>
        <w:rPr>
          <w:rFonts w:hint="eastAsia" w:cs="宋体"/>
          <w:color w:val="000000" w:themeColor="text1"/>
          <w:spacing w:val="1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spacing w:val="16"/>
          <w:highlight w:val="none"/>
          <w:u w:val="single"/>
          <w14:textFill>
            <w14:solidFill>
              <w14:schemeClr w14:val="tx1"/>
            </w14:solidFill>
          </w14:textFill>
        </w:rPr>
        <w:t xml:space="preserve"> </w:t>
      </w:r>
      <w:r>
        <w:rPr>
          <w:rFonts w:hint="eastAsia" w:cs="宋体"/>
          <w:color w:val="000000" w:themeColor="text1"/>
          <w:spacing w:val="1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日发布</w:t>
      </w:r>
      <w:r>
        <w:rPr>
          <w:rFonts w:hint="eastAsia" w:cs="宋体"/>
          <w:color w:val="000000" w:themeColor="text1"/>
          <w:highlight w:val="none"/>
          <w:u w:val="single"/>
          <w:lang w:val="en-US" w:eastAsia="zh-CN"/>
          <w14:textFill>
            <w14:solidFill>
              <w14:schemeClr w14:val="tx1"/>
            </w14:solidFill>
          </w14:textFill>
        </w:rPr>
        <w:t>XXXXXXXXXXXX</w:t>
      </w:r>
      <w:r>
        <w:rPr>
          <w:rFonts w:hint="eastAsia" w:ascii="宋体" w:hAnsi="宋体" w:eastAsia="宋体" w:cs="宋体"/>
          <w:color w:val="000000" w:themeColor="text1"/>
          <w:highlight w:val="none"/>
          <w:u w:val="single"/>
          <w:lang w:eastAsia="zh-CN"/>
          <w14:textFill>
            <w14:solidFill>
              <w14:schemeClr w14:val="tx1"/>
            </w14:solidFill>
          </w14:textFill>
        </w:rPr>
        <w:t>采购项</w:t>
      </w:r>
      <w:r>
        <w:rPr>
          <w:rFonts w:hint="eastAsia" w:ascii="宋体" w:hAnsi="宋体" w:eastAsia="宋体" w:cs="宋体"/>
          <w:color w:val="000000" w:themeColor="text1"/>
          <w:highlight w:val="none"/>
          <w:u w:val="single"/>
          <w:lang w:val="en-US" w:eastAsia="zh-CN"/>
          <w14:textFill>
            <w14:solidFill>
              <w14:schemeClr w14:val="tx1"/>
            </w14:solidFill>
          </w14:textFill>
        </w:rPr>
        <w:t>目</w:t>
      </w:r>
      <w:r>
        <w:rPr>
          <w:rFonts w:hint="eastAsia" w:ascii="宋体" w:hAnsi="宋体" w:eastAsia="宋体" w:cs="宋体"/>
          <w:color w:val="000000" w:themeColor="text1"/>
          <w:highlight w:val="none"/>
          <w14:textFill>
            <w14:solidFill>
              <w14:schemeClr w14:val="tx1"/>
            </w14:solidFill>
          </w14:textFill>
        </w:rPr>
        <w:t>的采购公告，本公司（企业）愿意参加投标，并声明：</w:t>
      </w:r>
    </w:p>
    <w:p w14:paraId="5FE5E1A5">
      <w:pPr>
        <w:pStyle w:val="2"/>
        <w:keepNext w:val="0"/>
        <w:keepLines w:val="0"/>
        <w:pageBreakBefore w:val="0"/>
        <w:kinsoku/>
        <w:wordWrap/>
        <w:overflowPunct/>
        <w:topLinePunct w:val="0"/>
        <w:bidi w:val="0"/>
        <w:adjustRightInd/>
        <w:snapToGrid/>
        <w:spacing w:before="5"/>
        <w:ind w:left="1044"/>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 本公司（企业）具备以下条件：</w:t>
      </w:r>
    </w:p>
    <w:p w14:paraId="3E5B3A83">
      <w:pPr>
        <w:pStyle w:val="2"/>
        <w:keepNext w:val="0"/>
        <w:keepLines w:val="0"/>
        <w:pageBreakBefore w:val="0"/>
        <w:kinsoku/>
        <w:wordWrap/>
        <w:overflowPunct/>
        <w:topLinePunct w:val="0"/>
        <w:bidi w:val="0"/>
        <w:adjustRightInd/>
        <w:snapToGrid/>
        <w:spacing w:before="158"/>
        <w:ind w:left="1044"/>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（一）具有独立承担民事责任的能力；</w:t>
      </w:r>
    </w:p>
    <w:p w14:paraId="6050A464">
      <w:pPr>
        <w:pStyle w:val="2"/>
        <w:keepNext w:val="0"/>
        <w:keepLines w:val="0"/>
        <w:pageBreakBefore w:val="0"/>
        <w:kinsoku/>
        <w:wordWrap/>
        <w:overflowPunct/>
        <w:topLinePunct w:val="0"/>
        <w:bidi w:val="0"/>
        <w:adjustRightInd/>
        <w:snapToGrid/>
        <w:spacing w:before="161"/>
        <w:ind w:left="1044"/>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（二）具有良好的商业信誉和健全的财务会计制度；</w:t>
      </w:r>
    </w:p>
    <w:p w14:paraId="35FF0C7B">
      <w:pPr>
        <w:pStyle w:val="2"/>
        <w:keepNext w:val="0"/>
        <w:keepLines w:val="0"/>
        <w:pageBreakBefore w:val="0"/>
        <w:kinsoku/>
        <w:wordWrap/>
        <w:overflowPunct/>
        <w:topLinePunct w:val="0"/>
        <w:bidi w:val="0"/>
        <w:adjustRightInd/>
        <w:snapToGrid/>
        <w:spacing w:before="158"/>
        <w:ind w:left="1044"/>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（三）有依法缴纳税收和社会保障资金的良好记录；</w:t>
      </w:r>
    </w:p>
    <w:p w14:paraId="5A5AC5F7">
      <w:pPr>
        <w:pStyle w:val="2"/>
        <w:keepNext w:val="0"/>
        <w:keepLines w:val="0"/>
        <w:pageBreakBefore w:val="0"/>
        <w:kinsoku/>
        <w:wordWrap/>
        <w:overflowPunct/>
        <w:topLinePunct w:val="0"/>
        <w:bidi w:val="0"/>
        <w:adjustRightInd/>
        <w:snapToGrid/>
        <w:spacing w:before="160"/>
        <w:ind w:left="1044"/>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（四）具有履行合同所必需的设备和专业技术能力；</w:t>
      </w:r>
    </w:p>
    <w:p w14:paraId="5E291301">
      <w:pPr>
        <w:pStyle w:val="2"/>
        <w:keepNext w:val="0"/>
        <w:keepLines w:val="0"/>
        <w:pageBreakBefore w:val="0"/>
        <w:kinsoku/>
        <w:wordWrap/>
        <w:overflowPunct/>
        <w:topLinePunct w:val="0"/>
        <w:bidi w:val="0"/>
        <w:adjustRightInd/>
        <w:snapToGrid/>
        <w:spacing w:before="161"/>
        <w:ind w:left="1044"/>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（五）参加政府采购活动前三年内，在经营活动中没有重大违法记录；</w:t>
      </w:r>
    </w:p>
    <w:p w14:paraId="523FE7F5">
      <w:pPr>
        <w:pStyle w:val="2"/>
        <w:keepNext w:val="0"/>
        <w:keepLines w:val="0"/>
        <w:pageBreakBefore w:val="0"/>
        <w:kinsoku/>
        <w:wordWrap/>
        <w:overflowPunct/>
        <w:topLinePunct w:val="0"/>
        <w:bidi w:val="0"/>
        <w:adjustRightInd/>
        <w:snapToGrid/>
        <w:spacing w:before="158"/>
        <w:ind w:left="1044"/>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（六）法律、行政法规规定的其他条件。</w:t>
      </w:r>
    </w:p>
    <w:p w14:paraId="4095C960">
      <w:pPr>
        <w:pStyle w:val="2"/>
        <w:keepNext w:val="0"/>
        <w:keepLines w:val="0"/>
        <w:pageBreakBefore w:val="0"/>
        <w:kinsoku/>
        <w:wordWrap/>
        <w:overflowPunct/>
        <w:topLinePunct w:val="0"/>
        <w:bidi w:val="0"/>
        <w:adjustRightInd/>
        <w:snapToGrid/>
        <w:spacing w:before="158" w:line="364" w:lineRule="auto"/>
        <w:ind w:left="620" w:right="624" w:firstLine="424"/>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 本公司（企业）没有为采购项目同一合同项下提供整体设计、规范编制或者项目管理、监理、检测等服务。</w:t>
      </w:r>
    </w:p>
    <w:p w14:paraId="5459D1DF">
      <w:pPr>
        <w:pStyle w:val="2"/>
        <w:keepNext w:val="0"/>
        <w:keepLines w:val="0"/>
        <w:pageBreakBefore w:val="0"/>
        <w:kinsoku/>
        <w:wordWrap/>
        <w:overflowPunct/>
        <w:topLinePunct w:val="0"/>
        <w:bidi w:val="0"/>
        <w:adjustRightInd/>
        <w:snapToGrid/>
        <w:spacing w:before="1" w:line="362" w:lineRule="auto"/>
        <w:ind w:left="620" w:right="624" w:firstLine="424"/>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 我方承诺如与本项目同一合同项下其他投标人的单位负责人为同一人或者存在直接控股、管理关系的情形，同意按投标无效处理。</w:t>
      </w:r>
    </w:p>
    <w:p w14:paraId="07EE4F3C">
      <w:pPr>
        <w:pStyle w:val="2"/>
        <w:keepNext w:val="0"/>
        <w:keepLines w:val="0"/>
        <w:pageBreakBefore w:val="0"/>
        <w:kinsoku/>
        <w:wordWrap/>
        <w:overflowPunct/>
        <w:topLinePunct w:val="0"/>
        <w:bidi w:val="0"/>
        <w:adjustRightInd/>
        <w:snapToGrid/>
        <w:spacing w:before="5"/>
        <w:ind w:left="1040"/>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四、本公司满足</w:t>
      </w:r>
      <w:r>
        <w:rPr>
          <w:rFonts w:hint="eastAsia"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14:textFill>
            <w14:solidFill>
              <w14:schemeClr w14:val="tx1"/>
            </w14:solidFill>
          </w14:textFill>
        </w:rPr>
        <w:t>文件申请人资格中的特定资格要求：</w:t>
      </w:r>
    </w:p>
    <w:p w14:paraId="52FB7F1C">
      <w:pPr>
        <w:pStyle w:val="2"/>
        <w:keepNext w:val="0"/>
        <w:keepLines w:val="0"/>
        <w:pageBreakBefore w:val="0"/>
        <w:kinsoku/>
        <w:wordWrap/>
        <w:overflowPunct/>
        <w:topLinePunct w:val="0"/>
        <w:bidi w:val="0"/>
        <w:adjustRightInd/>
        <w:snapToGrid/>
        <w:spacing w:before="158"/>
        <w:ind w:left="1100"/>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（1）本项目不接受联合体投标。</w:t>
      </w:r>
    </w:p>
    <w:p w14:paraId="3D0DA112">
      <w:pPr>
        <w:pStyle w:val="2"/>
        <w:keepNext w:val="0"/>
        <w:keepLines w:val="0"/>
        <w:pageBreakBefore w:val="0"/>
        <w:kinsoku/>
        <w:wordWrap/>
        <w:overflowPunct/>
        <w:topLinePunct w:val="0"/>
        <w:bidi w:val="0"/>
        <w:adjustRightInd/>
        <w:snapToGrid/>
        <w:spacing w:before="161"/>
        <w:ind w:left="1100"/>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auto"/>
          <w:highlight w:val="none"/>
        </w:rPr>
        <w:t>成功</w:t>
      </w:r>
      <w:r>
        <w:rPr>
          <w:rFonts w:hint="eastAsia" w:cs="宋体"/>
          <w:color w:val="auto"/>
          <w:highlight w:val="none"/>
          <w:lang w:val="en-US" w:eastAsia="zh-CN"/>
        </w:rPr>
        <w:t>获取</w:t>
      </w:r>
      <w:r>
        <w:rPr>
          <w:rFonts w:hint="eastAsia" w:ascii="宋体" w:hAnsi="宋体" w:eastAsia="宋体" w:cs="宋体"/>
          <w:color w:val="auto"/>
          <w:highlight w:val="none"/>
        </w:rPr>
        <w:t>本</w:t>
      </w:r>
      <w:r>
        <w:rPr>
          <w:rFonts w:hint="eastAsia" w:ascii="宋体" w:hAnsi="宋体" w:eastAsia="宋体" w:cs="宋体"/>
          <w:color w:val="000000" w:themeColor="text1"/>
          <w:highlight w:val="none"/>
          <w14:textFill>
            <w14:solidFill>
              <w14:schemeClr w14:val="tx1"/>
            </w14:solidFill>
          </w14:textFill>
        </w:rPr>
        <w:t>项目</w:t>
      </w:r>
      <w:r>
        <w:rPr>
          <w:rFonts w:hint="eastAsia"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14:textFill>
            <w14:solidFill>
              <w14:schemeClr w14:val="tx1"/>
            </w14:solidFill>
          </w14:textFill>
        </w:rPr>
        <w:t>文件的投标人。</w:t>
      </w:r>
    </w:p>
    <w:p w14:paraId="282AE2E8">
      <w:pPr>
        <w:pStyle w:val="2"/>
        <w:keepNext w:val="0"/>
        <w:keepLines w:val="0"/>
        <w:pageBreakBefore w:val="0"/>
        <w:kinsoku/>
        <w:wordWrap/>
        <w:overflowPunct/>
        <w:topLinePunct w:val="0"/>
        <w:bidi w:val="0"/>
        <w:adjustRightInd/>
        <w:snapToGrid/>
        <w:spacing w:before="158" w:line="364" w:lineRule="auto"/>
        <w:ind w:left="620" w:right="557" w:firstLine="480"/>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（3）投标人不存在被有关部门禁止参与政府采购活动且在有效期内的情况（要求投标人在投标文件中提供承诺</w:t>
      </w: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格式按附件“诚信承诺”表</w:t>
      </w:r>
      <w:r>
        <w:rPr>
          <w:rFonts w:hint="eastAsia" w:ascii="宋体" w:hAnsi="宋体" w:eastAsia="宋体" w:cs="宋体"/>
          <w:color w:val="000000" w:themeColor="text1"/>
          <w:highlight w:val="none"/>
          <w14:textFill>
            <w14:solidFill>
              <w14:schemeClr w14:val="tx1"/>
            </w14:solidFill>
          </w14:textFill>
        </w:rPr>
        <w:t>）。</w:t>
      </w:r>
    </w:p>
    <w:p w14:paraId="7CDF34C7">
      <w:pPr>
        <w:pStyle w:val="2"/>
        <w:keepNext w:val="0"/>
        <w:keepLines w:val="0"/>
        <w:pageBreakBefore w:val="0"/>
        <w:kinsoku/>
        <w:wordWrap/>
        <w:overflowPunct/>
        <w:topLinePunct w:val="0"/>
        <w:bidi w:val="0"/>
        <w:adjustRightInd/>
        <w:snapToGrid/>
        <w:spacing w:line="362" w:lineRule="auto"/>
        <w:ind w:left="620" w:right="624" w:firstLine="484"/>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本公司（企业）承诺在本次招标采购活动中，如有违法、违规、弄虚作假行为，所造成的损失、不良后果及法律责任，一律由我公司（企业）承担。</w:t>
      </w:r>
    </w:p>
    <w:p w14:paraId="15E4775B">
      <w:pPr>
        <w:pStyle w:val="2"/>
        <w:keepNext w:val="0"/>
        <w:keepLines w:val="0"/>
        <w:pageBreakBefore w:val="0"/>
        <w:kinsoku/>
        <w:wordWrap/>
        <w:overflowPunct/>
        <w:topLinePunct w:val="0"/>
        <w:bidi w:val="0"/>
        <w:adjustRightInd/>
        <w:snapToGrid/>
        <w:spacing w:before="1"/>
        <w:ind w:left="1040"/>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特此声明！</w:t>
      </w:r>
    </w:p>
    <w:p w14:paraId="047213A8">
      <w:pPr>
        <w:keepNext w:val="0"/>
        <w:keepLines w:val="0"/>
        <w:pageBreakBefore w:val="0"/>
        <w:kinsoku/>
        <w:wordWrap/>
        <w:overflowPunct/>
        <w:topLinePunct w:val="0"/>
        <w:bidi w:val="0"/>
        <w:adjustRightInd/>
        <w:snapToGrid/>
        <w:textAlignment w:val="auto"/>
        <w:outlineLvl w:val="9"/>
        <w:rPr>
          <w:rFonts w:hint="eastAsia" w:ascii="宋体" w:hAnsi="宋体" w:eastAsia="宋体" w:cs="宋体"/>
          <w:color w:val="000000" w:themeColor="text1"/>
          <w:highlight w:val="none"/>
          <w14:textFill>
            <w14:solidFill>
              <w14:schemeClr w14:val="tx1"/>
            </w14:solidFill>
          </w14:textFill>
        </w:rPr>
      </w:pPr>
      <w:bookmarkStart w:id="5" w:name="_GoBack"/>
      <w:bookmarkEnd w:id="5"/>
    </w:p>
    <w:p w14:paraId="6F7EAD00">
      <w:pPr>
        <w:keepNext w:val="0"/>
        <w:keepLines w:val="0"/>
        <w:pageBreakBefore w:val="0"/>
        <w:kinsoku/>
        <w:wordWrap/>
        <w:overflowPunct/>
        <w:topLinePunct w:val="0"/>
        <w:bidi w:val="0"/>
        <w:adjustRightInd/>
        <w:snapToGrid/>
        <w:ind w:firstLine="440" w:firstLineChars="200"/>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说明：</w:t>
      </w:r>
    </w:p>
    <w:p w14:paraId="0FF048FD">
      <w:pPr>
        <w:keepNext w:val="0"/>
        <w:keepLines w:val="0"/>
        <w:pageBreakBefore w:val="0"/>
        <w:kinsoku/>
        <w:wordWrap/>
        <w:overflowPunct/>
        <w:topLinePunct w:val="0"/>
        <w:bidi w:val="0"/>
        <w:adjustRightInd/>
        <w:snapToGrid/>
        <w:spacing w:after="0"/>
        <w:textAlignment w:val="auto"/>
        <w:outlineLvl w:val="9"/>
        <w:rPr>
          <w:rFonts w:hint="eastAsia" w:ascii="宋体" w:hAnsi="宋体" w:eastAsia="宋体" w:cs="宋体"/>
          <w:color w:val="000000" w:themeColor="text1"/>
          <w:highlight w:val="none"/>
          <w14:textFill>
            <w14:solidFill>
              <w14:schemeClr w14:val="tx1"/>
            </w14:solidFill>
          </w14:textFill>
        </w:rPr>
      </w:pPr>
    </w:p>
    <w:p w14:paraId="75C9F379">
      <w:pPr>
        <w:pStyle w:val="5"/>
        <w:keepNext w:val="0"/>
        <w:keepLines w:val="0"/>
        <w:pageBreakBefore w:val="0"/>
        <w:numPr>
          <w:ilvl w:val="0"/>
          <w:numId w:val="1"/>
        </w:numPr>
        <w:tabs>
          <w:tab w:val="left" w:pos="1040"/>
        </w:tabs>
        <w:kinsoku/>
        <w:wordWrap/>
        <w:overflowPunct/>
        <w:topLinePunct w:val="0"/>
        <w:bidi w:val="0"/>
        <w:adjustRightInd/>
        <w:snapToGrid/>
        <w:spacing w:before="43" w:after="0" w:line="240" w:lineRule="auto"/>
        <w:ind w:left="1040" w:right="0" w:hanging="420"/>
        <w:jc w:val="left"/>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本声明函必须提供且内容不得擅自删改，否则视为无效投标。</w:t>
      </w:r>
    </w:p>
    <w:p w14:paraId="5E217B8D">
      <w:pPr>
        <w:pStyle w:val="5"/>
        <w:keepNext w:val="0"/>
        <w:keepLines w:val="0"/>
        <w:pageBreakBefore w:val="0"/>
        <w:numPr>
          <w:ilvl w:val="0"/>
          <w:numId w:val="1"/>
        </w:numPr>
        <w:tabs>
          <w:tab w:val="left" w:pos="1040"/>
        </w:tabs>
        <w:kinsoku/>
        <w:wordWrap/>
        <w:overflowPunct/>
        <w:topLinePunct w:val="0"/>
        <w:bidi w:val="0"/>
        <w:adjustRightInd/>
        <w:snapToGrid/>
        <w:spacing w:before="160" w:after="0" w:line="362" w:lineRule="auto"/>
        <w:ind w:left="1040" w:right="3625" w:hanging="420"/>
        <w:jc w:val="left"/>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本声明函如有虚假或与事实不符的，作无效投标处理。投标人名称（单位盖公章）：</w:t>
      </w:r>
    </w:p>
    <w:p w14:paraId="3181BB94">
      <w:pPr>
        <w:pStyle w:val="2"/>
        <w:keepNext w:val="0"/>
        <w:keepLines w:val="0"/>
        <w:pageBreakBefore w:val="0"/>
        <w:kinsoku/>
        <w:wordWrap/>
        <w:overflowPunct/>
        <w:topLinePunct w:val="0"/>
        <w:bidi w:val="0"/>
        <w:adjustRightInd/>
        <w:snapToGrid/>
        <w:spacing w:before="5" w:line="362" w:lineRule="auto"/>
        <w:ind w:left="1040" w:right="8185"/>
        <w:textAlignment w:val="auto"/>
        <w:outlineLvl w:val="9"/>
        <w:rPr>
          <w:rFonts w:hint="eastAsia" w:ascii="宋体" w:hAnsi="宋体" w:eastAsia="宋体" w:cs="宋体"/>
          <w:color w:val="000000" w:themeColor="text1"/>
          <w:highlight w:val="none"/>
          <w14:textFill>
            <w14:solidFill>
              <w14:schemeClr w14:val="tx1"/>
            </w14:solidFill>
          </w14:textFill>
        </w:rPr>
        <w:sectPr>
          <w:pgSz w:w="11910" w:h="16840"/>
          <w:pgMar w:top="1580" w:right="660" w:bottom="1160" w:left="820" w:header="0" w:footer="979" w:gutter="0"/>
          <w:cols w:space="720" w:num="1"/>
        </w:sectPr>
      </w:pPr>
      <w:r>
        <w:rPr>
          <w:rFonts w:hint="eastAsia" w:ascii="宋体" w:hAnsi="宋体" w:eastAsia="宋体" w:cs="宋体"/>
          <w:color w:val="000000" w:themeColor="text1"/>
          <w:highlight w:val="none"/>
          <w14:textFill>
            <w14:solidFill>
              <w14:schemeClr w14:val="tx1"/>
            </w14:solidFill>
          </w14:textFill>
        </w:rPr>
        <w:t>单位地址： 日期：</w:t>
      </w:r>
    </w:p>
    <w:p w14:paraId="15D42425">
      <w:bookmarkStart w:id="1" w:name="投 标 函"/>
      <w:bookmarkEnd w:id="1"/>
      <w:bookmarkStart w:id="2" w:name="诚信承诺"/>
      <w:bookmarkEnd w:id="2"/>
      <w:bookmarkStart w:id="3" w:name="_bookmark24"/>
      <w:bookmarkEnd w:id="3"/>
      <w:bookmarkStart w:id="4" w:name="_bookmark25"/>
      <w:bookmarkEnd w:id="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1"/>
      <w:numFmt w:val="decimal"/>
      <w:lvlText w:val="%1."/>
      <w:lvlJc w:val="left"/>
      <w:pPr>
        <w:ind w:left="1040" w:hanging="420"/>
        <w:jc w:val="left"/>
      </w:pPr>
      <w:rPr>
        <w:rFonts w:hint="default" w:ascii="宋体" w:hAnsi="宋体" w:eastAsia="宋体" w:cs="宋体"/>
        <w:w w:val="100"/>
        <w:sz w:val="24"/>
        <w:szCs w:val="24"/>
      </w:rPr>
    </w:lvl>
    <w:lvl w:ilvl="1" w:tentative="0">
      <w:start w:val="0"/>
      <w:numFmt w:val="bullet"/>
      <w:lvlText w:val="•"/>
      <w:lvlJc w:val="left"/>
      <w:pPr>
        <w:ind w:left="1978" w:hanging="420"/>
      </w:pPr>
      <w:rPr>
        <w:rFonts w:hint="default"/>
      </w:rPr>
    </w:lvl>
    <w:lvl w:ilvl="2" w:tentative="0">
      <w:start w:val="0"/>
      <w:numFmt w:val="bullet"/>
      <w:lvlText w:val="•"/>
      <w:lvlJc w:val="left"/>
      <w:pPr>
        <w:ind w:left="2917" w:hanging="420"/>
      </w:pPr>
      <w:rPr>
        <w:rFonts w:hint="default"/>
      </w:rPr>
    </w:lvl>
    <w:lvl w:ilvl="3" w:tentative="0">
      <w:start w:val="0"/>
      <w:numFmt w:val="bullet"/>
      <w:lvlText w:val="•"/>
      <w:lvlJc w:val="left"/>
      <w:pPr>
        <w:ind w:left="3855" w:hanging="420"/>
      </w:pPr>
      <w:rPr>
        <w:rFonts w:hint="default"/>
      </w:rPr>
    </w:lvl>
    <w:lvl w:ilvl="4" w:tentative="0">
      <w:start w:val="0"/>
      <w:numFmt w:val="bullet"/>
      <w:lvlText w:val="•"/>
      <w:lvlJc w:val="left"/>
      <w:pPr>
        <w:ind w:left="4794" w:hanging="420"/>
      </w:pPr>
      <w:rPr>
        <w:rFonts w:hint="default"/>
      </w:rPr>
    </w:lvl>
    <w:lvl w:ilvl="5" w:tentative="0">
      <w:start w:val="0"/>
      <w:numFmt w:val="bullet"/>
      <w:lvlText w:val="•"/>
      <w:lvlJc w:val="left"/>
      <w:pPr>
        <w:ind w:left="5733" w:hanging="420"/>
      </w:pPr>
      <w:rPr>
        <w:rFonts w:hint="default"/>
      </w:rPr>
    </w:lvl>
    <w:lvl w:ilvl="6" w:tentative="0">
      <w:start w:val="0"/>
      <w:numFmt w:val="bullet"/>
      <w:lvlText w:val="•"/>
      <w:lvlJc w:val="left"/>
      <w:pPr>
        <w:ind w:left="6671" w:hanging="420"/>
      </w:pPr>
      <w:rPr>
        <w:rFonts w:hint="default"/>
      </w:rPr>
    </w:lvl>
    <w:lvl w:ilvl="7" w:tentative="0">
      <w:start w:val="0"/>
      <w:numFmt w:val="bullet"/>
      <w:lvlText w:val="•"/>
      <w:lvlJc w:val="left"/>
      <w:pPr>
        <w:ind w:left="7610" w:hanging="420"/>
      </w:pPr>
      <w:rPr>
        <w:rFonts w:hint="default"/>
      </w:rPr>
    </w:lvl>
    <w:lvl w:ilvl="8" w:tentative="0">
      <w:start w:val="0"/>
      <w:numFmt w:val="bullet"/>
      <w:lvlText w:val="•"/>
      <w:lvlJc w:val="left"/>
      <w:pPr>
        <w:ind w:left="8548"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930F9"/>
    <w:rsid w:val="01656096"/>
    <w:rsid w:val="02C866AB"/>
    <w:rsid w:val="0A527117"/>
    <w:rsid w:val="0D604782"/>
    <w:rsid w:val="135618C9"/>
    <w:rsid w:val="150F0169"/>
    <w:rsid w:val="157463C1"/>
    <w:rsid w:val="188A0ED1"/>
    <w:rsid w:val="19C24451"/>
    <w:rsid w:val="1BDD21C2"/>
    <w:rsid w:val="22202C8C"/>
    <w:rsid w:val="29B61A7F"/>
    <w:rsid w:val="2C344FFF"/>
    <w:rsid w:val="306930F9"/>
    <w:rsid w:val="3200328A"/>
    <w:rsid w:val="33DE60FC"/>
    <w:rsid w:val="3C950BD3"/>
    <w:rsid w:val="3CEE3985"/>
    <w:rsid w:val="3F100A2B"/>
    <w:rsid w:val="409937FA"/>
    <w:rsid w:val="42BE120C"/>
    <w:rsid w:val="42EF6D61"/>
    <w:rsid w:val="44044A8E"/>
    <w:rsid w:val="47342061"/>
    <w:rsid w:val="495C689C"/>
    <w:rsid w:val="4B866AF8"/>
    <w:rsid w:val="4D291727"/>
    <w:rsid w:val="53667314"/>
    <w:rsid w:val="54610180"/>
    <w:rsid w:val="558B6968"/>
    <w:rsid w:val="56F34C36"/>
    <w:rsid w:val="592D6CC1"/>
    <w:rsid w:val="5A84088E"/>
    <w:rsid w:val="60725AC7"/>
    <w:rsid w:val="63B9462A"/>
    <w:rsid w:val="646B7DB9"/>
    <w:rsid w:val="64747FBC"/>
    <w:rsid w:val="69B226F6"/>
    <w:rsid w:val="6DF70C94"/>
    <w:rsid w:val="71671D9D"/>
    <w:rsid w:val="73121DD9"/>
    <w:rsid w:val="73761AFD"/>
    <w:rsid w:val="764832A2"/>
    <w:rsid w:val="77286DE9"/>
    <w:rsid w:val="79D83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rPr>
  </w:style>
  <w:style w:type="paragraph" w:styleId="5">
    <w:name w:val="List Paragraph"/>
    <w:basedOn w:val="1"/>
    <w:qFormat/>
    <w:uiPriority w:val="1"/>
    <w:pPr>
      <w:ind w:left="1186" w:hanging="566"/>
    </w:pPr>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585</Words>
  <Characters>596</Characters>
  <Lines>0</Lines>
  <Paragraphs>0</Paragraphs>
  <TotalTime>20</TotalTime>
  <ScaleCrop>false</ScaleCrop>
  <LinksUpToDate>false</LinksUpToDate>
  <CharactersWithSpaces>608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2024-11-08T07:43:00Z</dcterms:created>
  <dc:creator>7nd</dc:creator>
  <cp:lastModifiedBy>YHJ</cp:lastModifiedBy>
  <dcterms:modified xsi:type="dcterms:W3CDTF">2024-12-20T00:44:26Z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29431967BF674D3FB029F8E4F09157E1_11</vt:lpwstr>
  </property>
</Properties>
</file>