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3243" w:right="3243" w:firstLine="0"/>
        <w:jc w:val="center"/>
        <w:textAlignment w:val="auto"/>
        <w:outlineLvl w:val="2"/>
        <w:rPr>
          <w:rFonts w:hint="eastAsia"/>
          <w:b/>
          <w:bCs/>
          <w:color w:val="000000" w:themeColor="text1"/>
          <w:sz w:val="28"/>
          <w:szCs w:val="28"/>
          <w:highlight w:val="none"/>
          <w14:textFill>
            <w14:solidFill>
              <w14:schemeClr w14:val="tx1"/>
            </w14:solidFill>
          </w14:textFill>
        </w:rPr>
      </w:pPr>
      <w:bookmarkStart w:id="0" w:name="_Toc9239"/>
      <w:r>
        <w:rPr>
          <w:rFonts w:hint="eastAsia"/>
          <w:b/>
          <w:bCs/>
          <w:color w:val="000000" w:themeColor="text1"/>
          <w:sz w:val="28"/>
          <w:szCs w:val="28"/>
          <w:highlight w:val="none"/>
          <w14:textFill>
            <w14:solidFill>
              <w14:schemeClr w14:val="tx1"/>
            </w14:solidFill>
          </w14:textFill>
        </w:rPr>
        <w:t>投标人资格声明函</w:t>
      </w:r>
      <w:bookmarkEnd w:id="0"/>
    </w:p>
    <w:p>
      <w:pPr>
        <w:keepNext w:val="0"/>
        <w:keepLines w:val="0"/>
        <w:pageBreakBefore w:val="0"/>
        <w:kinsoku/>
        <w:wordWrap/>
        <w:overflowPunct/>
        <w:topLinePunct w:val="0"/>
        <w:bidi w:val="0"/>
        <w:adjustRightInd/>
        <w:snapToGrid/>
        <w:spacing w:before="186"/>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珠海市香洲区人民医院：</w:t>
      </w:r>
    </w:p>
    <w:p>
      <w:pPr>
        <w:pStyle w:val="2"/>
        <w:keepNext w:val="0"/>
        <w:keepLines w:val="0"/>
        <w:pageBreakBefore w:val="0"/>
        <w:tabs>
          <w:tab w:val="left" w:pos="2796"/>
        </w:tabs>
        <w:kinsoku/>
        <w:wordWrap/>
        <w:overflowPunct/>
        <w:topLinePunct w:val="0"/>
        <w:bidi w:val="0"/>
        <w:adjustRightInd/>
        <w:snapToGrid/>
        <w:spacing w:before="160" w:line="362" w:lineRule="auto"/>
        <w:ind w:left="620" w:right="624" w:firstLine="48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关于贵单位</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spacing w:val="16"/>
          <w:highlight w:val="none"/>
          <w:u w:val="single"/>
          <w14:textFill>
            <w14:solidFill>
              <w14:schemeClr w14:val="tx1"/>
            </w14:solidFill>
          </w14:textFill>
        </w:rPr>
        <w:t xml:space="preserve"> </w:t>
      </w:r>
      <w:r>
        <w:rPr>
          <w:rFonts w:hint="eastAsia" w:cs="宋体"/>
          <w:color w:val="000000" w:themeColor="text1"/>
          <w:spacing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pacing w:val="16"/>
          <w:highlight w:val="none"/>
          <w:u w:val="single"/>
          <w14:textFill>
            <w14:solidFill>
              <w14:schemeClr w14:val="tx1"/>
            </w14:solidFill>
          </w14:textFill>
        </w:rPr>
        <w:t xml:space="preserve"> </w:t>
      </w:r>
      <w:r>
        <w:rPr>
          <w:rFonts w:hint="eastAsia" w:cs="宋体"/>
          <w:color w:val="000000" w:themeColor="text1"/>
          <w:spacing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lang w:val="en-US" w:eastAsia="zh-CN"/>
          <w14:textFill>
            <w14:solidFill>
              <w14:schemeClr w14:val="tx1"/>
            </w14:solidFill>
          </w14:textFill>
        </w:rPr>
        <w:t>珠海市香洲区人民医院2025年医师节蛋糕采购项目</w:t>
      </w:r>
      <w:r>
        <w:rPr>
          <w:rFonts w:hint="eastAsia" w:ascii="宋体" w:hAnsi="宋体" w:eastAsia="宋体" w:cs="宋体"/>
          <w:color w:val="000000" w:themeColor="text1"/>
          <w:highlight w:val="none"/>
          <w14:textFill>
            <w14:solidFill>
              <w14:schemeClr w14:val="tx1"/>
            </w14:solidFill>
          </w14:textFill>
        </w:rPr>
        <w:t>的采购公告，本公司（企业）愿意参加投标，并声明：</w:t>
      </w:r>
    </w:p>
    <w:p>
      <w:pPr>
        <w:pStyle w:val="2"/>
        <w:keepNext w:val="0"/>
        <w:keepLines w:val="0"/>
        <w:pageBreakBefore w:val="0"/>
        <w:kinsoku/>
        <w:wordWrap/>
        <w:overflowPunct/>
        <w:topLinePunct w:val="0"/>
        <w:bidi w:val="0"/>
        <w:adjustRightInd/>
        <w:snapToGrid/>
        <w:spacing w:before="5"/>
        <w:ind w:left="104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 本公司（企业）具备以下条件：</w:t>
      </w:r>
    </w:p>
    <w:p>
      <w:pPr>
        <w:pStyle w:val="2"/>
        <w:keepNext w:val="0"/>
        <w:keepLines w:val="0"/>
        <w:pageBreakBefore w:val="0"/>
        <w:kinsoku/>
        <w:wordWrap/>
        <w:overflowPunct/>
        <w:topLinePunct w:val="0"/>
        <w:bidi w:val="0"/>
        <w:adjustRightInd/>
        <w:snapToGrid/>
        <w:spacing w:before="158"/>
        <w:ind w:left="1044"/>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（一）具有独立承担民事责任的能力；</w:t>
      </w:r>
    </w:p>
    <w:p>
      <w:pPr>
        <w:pStyle w:val="2"/>
        <w:keepNext w:val="0"/>
        <w:keepLines w:val="0"/>
        <w:pageBreakBefore w:val="0"/>
        <w:kinsoku/>
        <w:wordWrap/>
        <w:overflowPunct/>
        <w:topLinePunct w:val="0"/>
        <w:bidi w:val="0"/>
        <w:adjustRightInd/>
        <w:snapToGrid/>
        <w:spacing w:before="161"/>
        <w:ind w:left="1044"/>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（二）具有良好的商业信誉和健全的财务会计制度；</w:t>
      </w:r>
      <w:bookmarkStart w:id="5" w:name="_GoBack"/>
      <w:bookmarkEnd w:id="5"/>
    </w:p>
    <w:p>
      <w:pPr>
        <w:pStyle w:val="2"/>
        <w:keepNext w:val="0"/>
        <w:keepLines w:val="0"/>
        <w:pageBreakBefore w:val="0"/>
        <w:kinsoku/>
        <w:wordWrap/>
        <w:overflowPunct/>
        <w:topLinePunct w:val="0"/>
        <w:bidi w:val="0"/>
        <w:adjustRightInd/>
        <w:snapToGrid/>
        <w:spacing w:before="158"/>
        <w:ind w:left="1044"/>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（三）有依法缴纳税收和社会保障资金的良好记录；</w:t>
      </w:r>
    </w:p>
    <w:p>
      <w:pPr>
        <w:pStyle w:val="2"/>
        <w:keepNext w:val="0"/>
        <w:keepLines w:val="0"/>
        <w:pageBreakBefore w:val="0"/>
        <w:kinsoku/>
        <w:wordWrap/>
        <w:overflowPunct/>
        <w:topLinePunct w:val="0"/>
        <w:bidi w:val="0"/>
        <w:adjustRightInd/>
        <w:snapToGrid/>
        <w:spacing w:before="160"/>
        <w:ind w:left="1044"/>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（四）具有履行合同所必需的设备和专业技术能力；</w:t>
      </w:r>
    </w:p>
    <w:p>
      <w:pPr>
        <w:pStyle w:val="2"/>
        <w:keepNext w:val="0"/>
        <w:keepLines w:val="0"/>
        <w:pageBreakBefore w:val="0"/>
        <w:kinsoku/>
        <w:wordWrap/>
        <w:overflowPunct/>
        <w:topLinePunct w:val="0"/>
        <w:bidi w:val="0"/>
        <w:adjustRightInd/>
        <w:snapToGrid/>
        <w:spacing w:before="161"/>
        <w:ind w:left="104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（五）参加政府采购活动前三年内，在经营活动中没有重大违法记录；</w:t>
      </w:r>
    </w:p>
    <w:p>
      <w:pPr>
        <w:pStyle w:val="2"/>
        <w:keepNext w:val="0"/>
        <w:keepLines w:val="0"/>
        <w:pageBreakBefore w:val="0"/>
        <w:kinsoku/>
        <w:wordWrap/>
        <w:overflowPunct/>
        <w:topLinePunct w:val="0"/>
        <w:bidi w:val="0"/>
        <w:adjustRightInd/>
        <w:snapToGrid/>
        <w:spacing w:before="158"/>
        <w:ind w:left="104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（六）法律、行政法规规定的其他条件。</w:t>
      </w:r>
    </w:p>
    <w:p>
      <w:pPr>
        <w:pStyle w:val="2"/>
        <w:keepNext w:val="0"/>
        <w:keepLines w:val="0"/>
        <w:pageBreakBefore w:val="0"/>
        <w:kinsoku/>
        <w:wordWrap/>
        <w:overflowPunct/>
        <w:topLinePunct w:val="0"/>
        <w:bidi w:val="0"/>
        <w:adjustRightInd/>
        <w:snapToGrid/>
        <w:spacing w:before="158" w:line="364" w:lineRule="auto"/>
        <w:ind w:left="620" w:right="624" w:firstLine="42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 本公司（企业）没有为采购项目同一合同项下提供整体设计、规范编制或者项目管理、监理、检测等服务。</w:t>
      </w:r>
    </w:p>
    <w:p>
      <w:pPr>
        <w:pStyle w:val="2"/>
        <w:keepNext w:val="0"/>
        <w:keepLines w:val="0"/>
        <w:pageBreakBefore w:val="0"/>
        <w:kinsoku/>
        <w:wordWrap/>
        <w:overflowPunct/>
        <w:topLinePunct w:val="0"/>
        <w:bidi w:val="0"/>
        <w:adjustRightInd/>
        <w:snapToGrid/>
        <w:spacing w:before="1" w:line="362" w:lineRule="auto"/>
        <w:ind w:left="620" w:right="624" w:firstLine="42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 我方承诺如与本项目同一合同项下其他投标人的单位负责人为同一人或者存在直接控股、管理关系的情形，同意按投标无效处理。</w:t>
      </w:r>
    </w:p>
    <w:p>
      <w:pPr>
        <w:pStyle w:val="2"/>
        <w:keepNext w:val="0"/>
        <w:keepLines w:val="0"/>
        <w:pageBreakBefore w:val="0"/>
        <w:kinsoku/>
        <w:wordWrap/>
        <w:overflowPunct/>
        <w:topLinePunct w:val="0"/>
        <w:bidi w:val="0"/>
        <w:adjustRightInd/>
        <w:snapToGrid/>
        <w:spacing w:before="5"/>
        <w:ind w:left="104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四、本公司满足</w:t>
      </w:r>
      <w:r>
        <w:rPr>
          <w:rFonts w:hint="eastAsia"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文件申请人资格中的特定资格要求：</w:t>
      </w:r>
    </w:p>
    <w:p>
      <w:pPr>
        <w:pStyle w:val="2"/>
        <w:keepNext w:val="0"/>
        <w:keepLines w:val="0"/>
        <w:pageBreakBefore w:val="0"/>
        <w:kinsoku/>
        <w:wordWrap/>
        <w:overflowPunct/>
        <w:topLinePunct w:val="0"/>
        <w:bidi w:val="0"/>
        <w:adjustRightInd/>
        <w:snapToGrid/>
        <w:spacing w:before="158"/>
        <w:ind w:left="11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（1）本项目不接受联合体投标。</w:t>
      </w:r>
    </w:p>
    <w:p>
      <w:pPr>
        <w:pStyle w:val="2"/>
        <w:keepNext w:val="0"/>
        <w:keepLines w:val="0"/>
        <w:pageBreakBefore w:val="0"/>
        <w:kinsoku/>
        <w:wordWrap/>
        <w:overflowPunct/>
        <w:topLinePunct w:val="0"/>
        <w:bidi w:val="0"/>
        <w:adjustRightInd/>
        <w:snapToGrid/>
        <w:spacing w:before="161"/>
        <w:ind w:left="11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auto"/>
          <w:highlight w:val="none"/>
        </w:rPr>
        <w:t>成功</w:t>
      </w:r>
      <w:r>
        <w:rPr>
          <w:rFonts w:hint="eastAsia" w:cs="宋体"/>
          <w:color w:val="auto"/>
          <w:highlight w:val="none"/>
          <w:lang w:val="en-US" w:eastAsia="zh-CN"/>
        </w:rPr>
        <w:t>获取</w:t>
      </w:r>
      <w:r>
        <w:rPr>
          <w:rFonts w:hint="eastAsia" w:ascii="宋体" w:hAnsi="宋体" w:eastAsia="宋体" w:cs="宋体"/>
          <w:color w:val="auto"/>
          <w:highlight w:val="none"/>
        </w:rPr>
        <w:t>本</w:t>
      </w:r>
      <w:r>
        <w:rPr>
          <w:rFonts w:hint="eastAsia" w:ascii="宋体" w:hAnsi="宋体" w:eastAsia="宋体" w:cs="宋体"/>
          <w:color w:val="000000" w:themeColor="text1"/>
          <w:highlight w:val="none"/>
          <w14:textFill>
            <w14:solidFill>
              <w14:schemeClr w14:val="tx1"/>
            </w14:solidFill>
          </w14:textFill>
        </w:rPr>
        <w:t>项目</w:t>
      </w:r>
      <w:r>
        <w:rPr>
          <w:rFonts w:hint="eastAsia"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文件的投标人。</w:t>
      </w:r>
    </w:p>
    <w:p>
      <w:pPr>
        <w:pStyle w:val="2"/>
        <w:keepNext w:val="0"/>
        <w:keepLines w:val="0"/>
        <w:pageBreakBefore w:val="0"/>
        <w:kinsoku/>
        <w:wordWrap/>
        <w:overflowPunct/>
        <w:topLinePunct w:val="0"/>
        <w:bidi w:val="0"/>
        <w:adjustRightInd/>
        <w:snapToGrid/>
        <w:spacing w:before="158" w:line="364" w:lineRule="auto"/>
        <w:ind w:left="620" w:right="557" w:firstLine="48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（3）投标人不存在被有关部门禁止参与政府采购活动且在有效期内的情况（要求投标人在投标文件中提供承诺</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格式按附件“诚信承诺”表</w:t>
      </w:r>
      <w:r>
        <w:rPr>
          <w:rFonts w:hint="eastAsia" w:ascii="宋体" w:hAnsi="宋体" w:eastAsia="宋体" w:cs="宋体"/>
          <w:color w:val="000000" w:themeColor="text1"/>
          <w:highlight w:val="none"/>
          <w14:textFill>
            <w14:solidFill>
              <w14:schemeClr w14:val="tx1"/>
            </w14:solidFill>
          </w14:textFill>
        </w:rPr>
        <w:t>）。</w:t>
      </w:r>
    </w:p>
    <w:p>
      <w:pPr>
        <w:pStyle w:val="2"/>
        <w:keepNext w:val="0"/>
        <w:keepLines w:val="0"/>
        <w:pageBreakBefore w:val="0"/>
        <w:kinsoku/>
        <w:wordWrap/>
        <w:overflowPunct/>
        <w:topLinePunct w:val="0"/>
        <w:bidi w:val="0"/>
        <w:adjustRightInd/>
        <w:snapToGrid/>
        <w:spacing w:line="362" w:lineRule="auto"/>
        <w:ind w:left="620" w:right="624" w:firstLine="484"/>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本公司（企业）承诺在本次招标采购活动中，如有违法、违规、弄虚作假行为，所造成的损失、不良后果及法律责任，一律由我公司（企业）承担。</w:t>
      </w:r>
    </w:p>
    <w:p>
      <w:pPr>
        <w:pStyle w:val="2"/>
        <w:keepNext w:val="0"/>
        <w:keepLines w:val="0"/>
        <w:pageBreakBefore w:val="0"/>
        <w:kinsoku/>
        <w:wordWrap/>
        <w:overflowPunct/>
        <w:topLinePunct w:val="0"/>
        <w:bidi w:val="0"/>
        <w:adjustRightInd/>
        <w:snapToGrid/>
        <w:spacing w:before="1"/>
        <w:ind w:left="104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特此声明！</w:t>
      </w:r>
    </w:p>
    <w:p>
      <w:pPr>
        <w:pStyle w:val="2"/>
        <w:keepNext w:val="0"/>
        <w:keepLines w:val="0"/>
        <w:pageBreakBefore w:val="0"/>
        <w:kinsoku/>
        <w:wordWrap/>
        <w:overflowPunct/>
        <w:topLinePunct w:val="0"/>
        <w:bidi w:val="0"/>
        <w:adjustRightInd/>
        <w:snapToGrid/>
        <w:textAlignment w:val="auto"/>
        <w:outlineLvl w:val="9"/>
        <w:rPr>
          <w:rFonts w:hint="eastAsia" w:ascii="宋体" w:hAnsi="宋体" w:eastAsia="宋体" w:cs="宋体"/>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adjustRightInd/>
        <w:snapToGrid/>
        <w:spacing w:before="11"/>
        <w:textAlignment w:val="auto"/>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pPr>
        <w:keepNext w:val="0"/>
        <w:keepLines w:val="0"/>
        <w:pageBreakBefore w:val="0"/>
        <w:kinsoku/>
        <w:wordWrap/>
        <w:overflowPunct/>
        <w:topLinePunct w:val="0"/>
        <w:bidi w:val="0"/>
        <w:adjustRightInd/>
        <w:snapToGrid/>
        <w:spacing w:after="0"/>
        <w:textAlignment w:val="auto"/>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adjustRightInd/>
        <w:snapToGrid/>
        <w:spacing w:after="0"/>
        <w:textAlignment w:val="auto"/>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adjustRightInd/>
        <w:snapToGrid/>
        <w:spacing w:after="0"/>
        <w:textAlignment w:val="auto"/>
        <w:outlineLvl w:val="9"/>
        <w:rPr>
          <w:rFonts w:hint="eastAsia" w:ascii="宋体" w:hAnsi="宋体" w:eastAsia="宋体" w:cs="宋体"/>
          <w:color w:val="000000" w:themeColor="text1"/>
          <w:highlight w:val="none"/>
          <w14:textFill>
            <w14:solidFill>
              <w14:schemeClr w14:val="tx1"/>
            </w14:solidFill>
          </w14:textFill>
        </w:rPr>
      </w:pPr>
    </w:p>
    <w:p>
      <w:pPr>
        <w:pStyle w:val="5"/>
        <w:keepNext w:val="0"/>
        <w:keepLines w:val="0"/>
        <w:pageBreakBefore w:val="0"/>
        <w:numPr>
          <w:ilvl w:val="0"/>
          <w:numId w:val="1"/>
        </w:numPr>
        <w:tabs>
          <w:tab w:val="left" w:pos="1040"/>
        </w:tabs>
        <w:kinsoku/>
        <w:wordWrap/>
        <w:overflowPunct/>
        <w:topLinePunct w:val="0"/>
        <w:bidi w:val="0"/>
        <w:adjustRightInd/>
        <w:snapToGrid/>
        <w:spacing w:before="43" w:after="0" w:line="240" w:lineRule="auto"/>
        <w:ind w:left="1040" w:right="0" w:hanging="420"/>
        <w:jc w:val="lef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本声明函必须提供且内容不得擅自删改，否则视为无效投标。</w:t>
      </w:r>
    </w:p>
    <w:p>
      <w:pPr>
        <w:pStyle w:val="5"/>
        <w:keepNext w:val="0"/>
        <w:keepLines w:val="0"/>
        <w:pageBreakBefore w:val="0"/>
        <w:numPr>
          <w:ilvl w:val="0"/>
          <w:numId w:val="1"/>
        </w:numPr>
        <w:tabs>
          <w:tab w:val="left" w:pos="1040"/>
        </w:tabs>
        <w:kinsoku/>
        <w:wordWrap/>
        <w:overflowPunct/>
        <w:topLinePunct w:val="0"/>
        <w:bidi w:val="0"/>
        <w:adjustRightInd/>
        <w:snapToGrid/>
        <w:spacing w:before="160" w:after="0" w:line="362" w:lineRule="auto"/>
        <w:ind w:left="1040" w:right="3625" w:hanging="420"/>
        <w:jc w:val="lef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本声明函如有虚假或与事实不符的，作无效投标处理。投标人名称（单位盖公章）：</w:t>
      </w:r>
    </w:p>
    <w:p>
      <w:pPr>
        <w:pStyle w:val="2"/>
        <w:keepNext w:val="0"/>
        <w:keepLines w:val="0"/>
        <w:pageBreakBefore w:val="0"/>
        <w:kinsoku/>
        <w:wordWrap/>
        <w:overflowPunct/>
        <w:topLinePunct w:val="0"/>
        <w:bidi w:val="0"/>
        <w:adjustRightInd/>
        <w:snapToGrid/>
        <w:spacing w:before="5" w:line="362" w:lineRule="auto"/>
        <w:ind w:left="1040" w:right="8185"/>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单位地址： 日期：</w:t>
      </w:r>
    </w:p>
    <w:p>
      <w:pPr>
        <w:pStyle w:val="5"/>
        <w:keepNext w:val="0"/>
        <w:keepLines w:val="0"/>
        <w:pageBreakBefore w:val="0"/>
        <w:numPr>
          <w:ilvl w:val="0"/>
          <w:numId w:val="0"/>
        </w:numPr>
        <w:tabs>
          <w:tab w:val="left" w:pos="1040"/>
        </w:tabs>
        <w:kinsoku/>
        <w:wordWrap/>
        <w:overflowPunct/>
        <w:topLinePunct w:val="0"/>
        <w:bidi w:val="0"/>
        <w:adjustRightInd/>
        <w:snapToGrid/>
        <w:spacing w:before="43" w:after="0" w:line="240" w:lineRule="auto"/>
        <w:ind w:left="620" w:leftChars="0" w:right="0" w:rightChars="0"/>
        <w:jc w:val="left"/>
        <w:textAlignment w:val="auto"/>
        <w:outlineLvl w:val="9"/>
        <w:rPr>
          <w:rFonts w:hint="eastAsia" w:ascii="宋体" w:hAnsi="宋体" w:eastAsia="宋体" w:cs="宋体"/>
          <w:color w:val="000000" w:themeColor="text1"/>
          <w:highlight w:val="none"/>
          <w14:textFill>
            <w14:solidFill>
              <w14:schemeClr w14:val="tx1"/>
            </w14:solidFill>
          </w14:textFill>
        </w:rPr>
        <w:sectPr>
          <w:pgSz w:w="11910" w:h="16840"/>
          <w:pgMar w:top="1380" w:right="660" w:bottom="1160" w:left="820" w:header="0" w:footer="979" w:gutter="0"/>
          <w:cols w:space="720" w:num="1"/>
        </w:sectPr>
      </w:pPr>
    </w:p>
    <w:p>
      <w:pPr>
        <w:rPr>
          <w:rFonts w:hint="eastAsia" w:eastAsia="宋体"/>
          <w:lang w:eastAsia="zh-CN"/>
        </w:rPr>
      </w:pPr>
      <w:bookmarkStart w:id="1" w:name="_bookmark25"/>
      <w:bookmarkEnd w:id="1"/>
      <w:bookmarkStart w:id="2" w:name="投 标 函"/>
      <w:bookmarkEnd w:id="2"/>
      <w:bookmarkStart w:id="3" w:name="诚信承诺"/>
      <w:bookmarkEnd w:id="3"/>
      <w:bookmarkStart w:id="4" w:name="_bookmark24"/>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040" w:hanging="420"/>
        <w:jc w:val="left"/>
      </w:pPr>
      <w:rPr>
        <w:rFonts w:hint="default" w:ascii="宋体" w:hAnsi="宋体" w:eastAsia="宋体" w:cs="宋体"/>
        <w:w w:val="100"/>
        <w:sz w:val="24"/>
        <w:szCs w:val="24"/>
      </w:rPr>
    </w:lvl>
    <w:lvl w:ilvl="1" w:tentative="0">
      <w:start w:val="0"/>
      <w:numFmt w:val="bullet"/>
      <w:lvlText w:val="•"/>
      <w:lvlJc w:val="left"/>
      <w:pPr>
        <w:ind w:left="1978" w:hanging="420"/>
      </w:pPr>
      <w:rPr>
        <w:rFonts w:hint="default"/>
      </w:rPr>
    </w:lvl>
    <w:lvl w:ilvl="2" w:tentative="0">
      <w:start w:val="0"/>
      <w:numFmt w:val="bullet"/>
      <w:lvlText w:val="•"/>
      <w:lvlJc w:val="left"/>
      <w:pPr>
        <w:ind w:left="2917" w:hanging="420"/>
      </w:pPr>
      <w:rPr>
        <w:rFonts w:hint="default"/>
      </w:rPr>
    </w:lvl>
    <w:lvl w:ilvl="3" w:tentative="0">
      <w:start w:val="0"/>
      <w:numFmt w:val="bullet"/>
      <w:lvlText w:val="•"/>
      <w:lvlJc w:val="left"/>
      <w:pPr>
        <w:ind w:left="3855" w:hanging="420"/>
      </w:pPr>
      <w:rPr>
        <w:rFonts w:hint="default"/>
      </w:rPr>
    </w:lvl>
    <w:lvl w:ilvl="4" w:tentative="0">
      <w:start w:val="0"/>
      <w:numFmt w:val="bullet"/>
      <w:lvlText w:val="•"/>
      <w:lvlJc w:val="left"/>
      <w:pPr>
        <w:ind w:left="4794" w:hanging="420"/>
      </w:pPr>
      <w:rPr>
        <w:rFonts w:hint="default"/>
      </w:rPr>
    </w:lvl>
    <w:lvl w:ilvl="5" w:tentative="0">
      <w:start w:val="0"/>
      <w:numFmt w:val="bullet"/>
      <w:lvlText w:val="•"/>
      <w:lvlJc w:val="left"/>
      <w:pPr>
        <w:ind w:left="5733" w:hanging="420"/>
      </w:pPr>
      <w:rPr>
        <w:rFonts w:hint="default"/>
      </w:rPr>
    </w:lvl>
    <w:lvl w:ilvl="6" w:tentative="0">
      <w:start w:val="0"/>
      <w:numFmt w:val="bullet"/>
      <w:lvlText w:val="•"/>
      <w:lvlJc w:val="left"/>
      <w:pPr>
        <w:ind w:left="6671" w:hanging="420"/>
      </w:pPr>
      <w:rPr>
        <w:rFonts w:hint="default"/>
      </w:rPr>
    </w:lvl>
    <w:lvl w:ilvl="7" w:tentative="0">
      <w:start w:val="0"/>
      <w:numFmt w:val="bullet"/>
      <w:lvlText w:val="•"/>
      <w:lvlJc w:val="left"/>
      <w:pPr>
        <w:ind w:left="7610" w:hanging="420"/>
      </w:pPr>
      <w:rPr>
        <w:rFonts w:hint="default"/>
      </w:rPr>
    </w:lvl>
    <w:lvl w:ilvl="8" w:tentative="0">
      <w:start w:val="0"/>
      <w:numFmt w:val="bullet"/>
      <w:lvlText w:val="•"/>
      <w:lvlJc w:val="left"/>
      <w:pPr>
        <w:ind w:left="8548"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930F9"/>
    <w:rsid w:val="0A527117"/>
    <w:rsid w:val="0D604782"/>
    <w:rsid w:val="135618C9"/>
    <w:rsid w:val="157463C1"/>
    <w:rsid w:val="173B6D4C"/>
    <w:rsid w:val="1778734E"/>
    <w:rsid w:val="188A0ED1"/>
    <w:rsid w:val="19C24451"/>
    <w:rsid w:val="1BDD21C2"/>
    <w:rsid w:val="1D075DF4"/>
    <w:rsid w:val="1DC3665E"/>
    <w:rsid w:val="22202C8C"/>
    <w:rsid w:val="29B61A7F"/>
    <w:rsid w:val="2C344FFF"/>
    <w:rsid w:val="306930F9"/>
    <w:rsid w:val="3200328A"/>
    <w:rsid w:val="33DE60FC"/>
    <w:rsid w:val="36472F92"/>
    <w:rsid w:val="3C285F97"/>
    <w:rsid w:val="3CEE3985"/>
    <w:rsid w:val="409937FA"/>
    <w:rsid w:val="42BE120C"/>
    <w:rsid w:val="47342061"/>
    <w:rsid w:val="495C689C"/>
    <w:rsid w:val="4B866AF8"/>
    <w:rsid w:val="4D291727"/>
    <w:rsid w:val="531426F3"/>
    <w:rsid w:val="53667314"/>
    <w:rsid w:val="54610180"/>
    <w:rsid w:val="558B6968"/>
    <w:rsid w:val="56F34C36"/>
    <w:rsid w:val="5A84088E"/>
    <w:rsid w:val="60725AC7"/>
    <w:rsid w:val="63B9462A"/>
    <w:rsid w:val="676353B3"/>
    <w:rsid w:val="69B226F6"/>
    <w:rsid w:val="6DF70C94"/>
    <w:rsid w:val="71671D9D"/>
    <w:rsid w:val="73121DD9"/>
    <w:rsid w:val="73761AFD"/>
    <w:rsid w:val="764832A2"/>
    <w:rsid w:val="79D8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rPr>
  </w:style>
  <w:style w:type="paragraph" w:styleId="5">
    <w:name w:val="List Paragraph"/>
    <w:basedOn w:val="1"/>
    <w:qFormat/>
    <w:uiPriority w:val="1"/>
    <w:pPr>
      <w:ind w:left="1186" w:hanging="566"/>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2024-11-08T07:43:00Z</dcterms:created>
  <dc:creator>7nd</dc:creator>
  <cp:lastModifiedBy>user102.206</cp:lastModifiedBy>
  <dcterms:modified xsi:type="dcterms:W3CDTF">2025-06-23T01:23:53Z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29431967BF674D3FB029F8E4F09157E1_11</vt:lpwstr>
  </property>
</Properties>
</file>